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A30D26">
            <w:pPr>
              <w:framePr w:hSpace="180" w:wrap="auto" w:vAnchor="page" w:hAnchor="margin" w:x="358" w:y="905"/>
              <w:ind w:left="257" w:hanging="257"/>
              <w:rPr>
                <w:sz w:val="24"/>
                <w:szCs w:val="24"/>
              </w:rPr>
            </w:pPr>
            <w:r w:rsidRPr="00D817A7">
              <w:rPr>
                <w:sz w:val="24"/>
                <w:szCs w:val="24"/>
              </w:rPr>
              <w:t xml:space="preserve">  </w:t>
            </w:r>
            <w:r w:rsidR="001418F4" w:rsidRPr="00A30D26">
              <w:rPr>
                <w:sz w:val="24"/>
                <w:szCs w:val="24"/>
              </w:rPr>
              <w:t xml:space="preserve"> </w:t>
            </w:r>
            <w:r w:rsidR="00043A9A" w:rsidRPr="00207827">
              <w:rPr>
                <w:sz w:val="24"/>
                <w:szCs w:val="24"/>
              </w:rPr>
              <w:t xml:space="preserve"> </w:t>
            </w:r>
            <w:r w:rsidR="00AD7AEA" w:rsidRPr="00207827">
              <w:rPr>
                <w:sz w:val="24"/>
                <w:szCs w:val="24"/>
              </w:rPr>
              <w:t>СОГЛАСОВАНО</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 </w:t>
            </w:r>
            <w:r w:rsidR="00730812">
              <w:rPr>
                <w:sz w:val="24"/>
                <w:szCs w:val="24"/>
              </w:rPr>
              <w:t xml:space="preserve">И.О. </w:t>
            </w:r>
            <w:r w:rsidRPr="00207827">
              <w:rPr>
                <w:sz w:val="24"/>
                <w:szCs w:val="24"/>
              </w:rPr>
              <w:t>Генеральн</w:t>
            </w:r>
            <w:r w:rsidR="00730812">
              <w:rPr>
                <w:sz w:val="24"/>
                <w:szCs w:val="24"/>
              </w:rPr>
              <w:t>ого</w:t>
            </w:r>
            <w:r w:rsidRPr="00207827">
              <w:rPr>
                <w:sz w:val="24"/>
                <w:szCs w:val="24"/>
              </w:rPr>
              <w:t xml:space="preserve"> директор</w:t>
            </w:r>
            <w:r w:rsidR="00730812">
              <w:rPr>
                <w:sz w:val="24"/>
                <w:szCs w:val="24"/>
              </w:rPr>
              <w:t>а</w:t>
            </w:r>
          </w:p>
          <w:p w:rsidR="00AD7AEA" w:rsidRPr="00207827" w:rsidRDefault="00AD7AEA" w:rsidP="00207827">
            <w:pPr>
              <w:framePr w:hSpace="180" w:wrap="auto" w:vAnchor="page" w:hAnchor="margin" w:x="358" w:y="905"/>
              <w:rPr>
                <w:sz w:val="24"/>
                <w:szCs w:val="24"/>
              </w:rPr>
            </w:pPr>
            <w:r w:rsidRPr="00207827">
              <w:rPr>
                <w:sz w:val="24"/>
                <w:szCs w:val="24"/>
              </w:rPr>
              <w:t>АО «ДК РЕГИОН»</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____________________  /</w:t>
            </w:r>
            <w:r w:rsidR="00730812">
              <w:rPr>
                <w:sz w:val="24"/>
                <w:szCs w:val="24"/>
              </w:rPr>
              <w:t>Н.Е. Сударикова</w:t>
            </w:r>
            <w:r w:rsidRPr="00207827">
              <w:rPr>
                <w:sz w:val="24"/>
                <w:szCs w:val="24"/>
              </w:rPr>
              <w:t xml:space="preserve">/                    </w:t>
            </w:r>
          </w:p>
          <w:p w:rsidR="00AD7AEA" w:rsidRPr="00207827" w:rsidRDefault="00AD7AEA" w:rsidP="00207827">
            <w:pPr>
              <w:framePr w:hSpace="180" w:wrap="auto" w:vAnchor="page" w:hAnchor="margin" w:x="358" w:y="905"/>
              <w:rPr>
                <w:sz w:val="24"/>
                <w:szCs w:val="24"/>
              </w:rPr>
            </w:pPr>
          </w:p>
          <w:p w:rsidR="00AD7AEA" w:rsidRPr="00207827" w:rsidRDefault="00F013EC" w:rsidP="00C549FC">
            <w:pPr>
              <w:framePr w:hSpace="180" w:wrap="auto" w:vAnchor="page" w:hAnchor="margin" w:x="358" w:y="905"/>
              <w:rPr>
                <w:sz w:val="28"/>
                <w:szCs w:val="28"/>
              </w:rPr>
            </w:pPr>
            <w:r w:rsidRPr="00207827">
              <w:rPr>
                <w:sz w:val="24"/>
                <w:szCs w:val="24"/>
              </w:rPr>
              <w:t>«</w:t>
            </w:r>
            <w:r>
              <w:rPr>
                <w:sz w:val="24"/>
                <w:szCs w:val="24"/>
              </w:rPr>
              <w:t>2</w:t>
            </w:r>
            <w:r w:rsidR="00730812" w:rsidRPr="00C050F3">
              <w:rPr>
                <w:sz w:val="24"/>
                <w:szCs w:val="24"/>
              </w:rPr>
              <w:t>4</w:t>
            </w:r>
            <w:r w:rsidRPr="00207827">
              <w:rPr>
                <w:sz w:val="24"/>
                <w:szCs w:val="24"/>
              </w:rPr>
              <w:t xml:space="preserve">» </w:t>
            </w:r>
            <w:r>
              <w:rPr>
                <w:sz w:val="24"/>
                <w:szCs w:val="24"/>
              </w:rPr>
              <w:t xml:space="preserve">июля </w:t>
            </w:r>
            <w:r w:rsidRPr="00207827">
              <w:rPr>
                <w:sz w:val="24"/>
                <w:szCs w:val="24"/>
              </w:rPr>
              <w:t xml:space="preserve"> </w:t>
            </w:r>
            <w:r>
              <w:rPr>
                <w:sz w:val="24"/>
                <w:szCs w:val="24"/>
              </w:rPr>
              <w:t xml:space="preserve">2020 </w:t>
            </w:r>
            <w:r w:rsidRPr="00207827">
              <w:rPr>
                <w:sz w:val="24"/>
                <w:szCs w:val="24"/>
              </w:rPr>
              <w:t>г.</w:t>
            </w:r>
            <w:r w:rsidR="00AD7AEA" w:rsidRPr="00207827">
              <w:rPr>
                <w:sz w:val="24"/>
                <w:szCs w:val="24"/>
              </w:rPr>
              <w:t>.</w:t>
            </w:r>
          </w:p>
        </w:tc>
        <w:tc>
          <w:tcPr>
            <w:tcW w:w="4395" w:type="dxa"/>
          </w:tcPr>
          <w:p w:rsidR="00AD7AEA" w:rsidRPr="00207827" w:rsidRDefault="00AD7AEA" w:rsidP="00207827">
            <w:pPr>
              <w:framePr w:hSpace="180" w:wrap="auto" w:vAnchor="page" w:hAnchor="margin" w:x="358" w:y="905"/>
              <w:rPr>
                <w:sz w:val="24"/>
                <w:szCs w:val="24"/>
              </w:rPr>
            </w:pPr>
            <w:r w:rsidRPr="00207827">
              <w:rPr>
                <w:sz w:val="24"/>
                <w:szCs w:val="24"/>
              </w:rPr>
              <w:t xml:space="preserve">УТВЕРЖДЕНО </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FA592F" w:rsidP="00207827">
            <w:pPr>
              <w:framePr w:hSpace="180" w:wrap="auto" w:vAnchor="page" w:hAnchor="margin" w:x="358" w:y="905"/>
              <w:rPr>
                <w:sz w:val="24"/>
                <w:szCs w:val="24"/>
              </w:rPr>
            </w:pPr>
            <w:r>
              <w:rPr>
                <w:sz w:val="24"/>
                <w:szCs w:val="24"/>
              </w:rPr>
              <w:t>Г</w:t>
            </w:r>
            <w:r w:rsidR="00AD7AEA" w:rsidRPr="00207827">
              <w:rPr>
                <w:sz w:val="24"/>
                <w:szCs w:val="24"/>
              </w:rPr>
              <w:t>енеральн</w:t>
            </w:r>
            <w:r w:rsidR="00F013EC">
              <w:rPr>
                <w:sz w:val="24"/>
                <w:szCs w:val="24"/>
              </w:rPr>
              <w:t xml:space="preserve">ый </w:t>
            </w:r>
            <w:r w:rsidR="00AD7AEA" w:rsidRPr="00207827">
              <w:rPr>
                <w:sz w:val="24"/>
                <w:szCs w:val="24"/>
              </w:rPr>
              <w:t xml:space="preserve"> директор </w:t>
            </w:r>
          </w:p>
          <w:p w:rsidR="00AD7AEA" w:rsidRPr="00207827" w:rsidRDefault="00867899" w:rsidP="00207827">
            <w:pPr>
              <w:framePr w:hSpace="180" w:wrap="auto" w:vAnchor="page" w:hAnchor="margin" w:x="358" w:y="905"/>
              <w:rPr>
                <w:sz w:val="24"/>
                <w:szCs w:val="24"/>
              </w:rPr>
            </w:pPr>
            <w:r>
              <w:rPr>
                <w:sz w:val="24"/>
                <w:szCs w:val="24"/>
              </w:rPr>
              <w:t>АО «РЕГИОН ЭсМ»</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1B3087" w:rsidRPr="00207827" w:rsidRDefault="001B3087"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________________ /</w:t>
            </w:r>
            <w:r w:rsidR="00F013EC">
              <w:rPr>
                <w:sz w:val="24"/>
                <w:szCs w:val="24"/>
              </w:rPr>
              <w:t>Е.А.Зайцева</w:t>
            </w:r>
            <w:r w:rsidRPr="00207827">
              <w:rPr>
                <w:sz w:val="24"/>
                <w:szCs w:val="24"/>
              </w:rPr>
              <w:t>/</w:t>
            </w:r>
          </w:p>
          <w:p w:rsidR="00AD7AEA" w:rsidRPr="00207827" w:rsidRDefault="00AD7AEA" w:rsidP="00207827">
            <w:pPr>
              <w:framePr w:hSpace="180" w:wrap="auto" w:vAnchor="page" w:hAnchor="margin" w:x="358" w:y="905"/>
              <w:tabs>
                <w:tab w:val="left" w:pos="2722"/>
              </w:tabs>
              <w:rPr>
                <w:sz w:val="24"/>
                <w:szCs w:val="24"/>
              </w:rPr>
            </w:pPr>
          </w:p>
          <w:p w:rsidR="00AD7AEA" w:rsidRPr="00207827" w:rsidRDefault="009F3E47" w:rsidP="00F013EC">
            <w:pPr>
              <w:framePr w:hSpace="180" w:wrap="auto" w:vAnchor="page" w:hAnchor="margin" w:x="358" w:y="905"/>
              <w:tabs>
                <w:tab w:val="left" w:pos="2722"/>
              </w:tabs>
              <w:rPr>
                <w:sz w:val="24"/>
                <w:szCs w:val="24"/>
              </w:rPr>
            </w:pPr>
            <w:r w:rsidRPr="00207827">
              <w:rPr>
                <w:sz w:val="24"/>
                <w:szCs w:val="24"/>
              </w:rPr>
              <w:t>«</w:t>
            </w:r>
            <w:r w:rsidR="00F013EC">
              <w:rPr>
                <w:sz w:val="24"/>
                <w:szCs w:val="24"/>
              </w:rPr>
              <w:t>2</w:t>
            </w:r>
            <w:r w:rsidR="00730812" w:rsidRPr="00C050F3">
              <w:rPr>
                <w:sz w:val="24"/>
                <w:szCs w:val="24"/>
              </w:rPr>
              <w:t>4</w:t>
            </w:r>
            <w:r w:rsidR="00AF5515" w:rsidRPr="00207827">
              <w:rPr>
                <w:sz w:val="24"/>
                <w:szCs w:val="24"/>
              </w:rPr>
              <w:t xml:space="preserve">» </w:t>
            </w:r>
            <w:r w:rsidR="00F013EC">
              <w:rPr>
                <w:sz w:val="24"/>
                <w:szCs w:val="24"/>
              </w:rPr>
              <w:t>июля</w:t>
            </w:r>
            <w:r w:rsidR="0083360D">
              <w:rPr>
                <w:sz w:val="24"/>
                <w:szCs w:val="24"/>
              </w:rPr>
              <w:t xml:space="preserve"> </w:t>
            </w:r>
            <w:r w:rsidR="0083360D" w:rsidRPr="00207827">
              <w:rPr>
                <w:sz w:val="24"/>
                <w:szCs w:val="24"/>
              </w:rPr>
              <w:t xml:space="preserve"> </w:t>
            </w:r>
            <w:r w:rsidR="00F013EC">
              <w:rPr>
                <w:sz w:val="24"/>
                <w:szCs w:val="24"/>
              </w:rPr>
              <w:t>2020</w:t>
            </w:r>
            <w:r w:rsidR="00781DD6">
              <w:rPr>
                <w:sz w:val="24"/>
                <w:szCs w:val="24"/>
              </w:rPr>
              <w:t xml:space="preserve"> </w:t>
            </w:r>
            <w:r w:rsidR="00AD7AEA" w:rsidRPr="00207827">
              <w:rPr>
                <w:sz w:val="24"/>
                <w:szCs w:val="24"/>
              </w:rPr>
              <w:t>г.</w:t>
            </w:r>
            <w:r w:rsidR="00AD7AEA" w:rsidRPr="00207827">
              <w:rPr>
                <w:sz w:val="24"/>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A831A0" w:rsidRPr="00207827" w:rsidRDefault="00A831A0" w:rsidP="00B602F2">
      <w:pPr>
        <w:ind w:left="360"/>
        <w:rPr>
          <w:sz w:val="28"/>
          <w:szCs w:val="28"/>
        </w:rPr>
      </w:pPr>
      <w:bookmarkStart w:id="0" w:name="_GoBack"/>
      <w:bookmarkEnd w:id="0"/>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E67D84" w:rsidRPr="00287F00" w:rsidRDefault="00E67D84" w:rsidP="00E67D84">
      <w:pPr>
        <w:ind w:left="-284" w:right="-284"/>
        <w:jc w:val="center"/>
        <w:rPr>
          <w:b/>
          <w:bCs/>
          <w:sz w:val="32"/>
          <w:szCs w:val="32"/>
        </w:rPr>
      </w:pPr>
      <w:r w:rsidRPr="00287F00">
        <w:rPr>
          <w:b/>
          <w:bCs/>
          <w:sz w:val="32"/>
          <w:szCs w:val="32"/>
        </w:rPr>
        <w:t xml:space="preserve">определения стоимости чистых активов </w:t>
      </w:r>
    </w:p>
    <w:p w:rsidR="00E67D84" w:rsidRPr="00483C3E" w:rsidRDefault="00E67D84" w:rsidP="00E67D84">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00337DBE" w:rsidRPr="00B602F2">
        <w:rPr>
          <w:b/>
          <w:bCs/>
          <w:sz w:val="32"/>
          <w:szCs w:val="32"/>
        </w:rPr>
        <w:t>«</w:t>
      </w:r>
      <w:r w:rsidR="00337DBE">
        <w:rPr>
          <w:b/>
          <w:bCs/>
          <w:sz w:val="32"/>
          <w:szCs w:val="32"/>
        </w:rPr>
        <w:t>Атлант</w:t>
      </w:r>
      <w:r w:rsidR="00337DBE" w:rsidRPr="00B602F2">
        <w:rPr>
          <w:b/>
          <w:bCs/>
          <w:sz w:val="32"/>
          <w:szCs w:val="32"/>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A06D30" w:rsidRDefault="00A06D30">
      <w:pPr>
        <w:rPr>
          <w:sz w:val="24"/>
          <w:szCs w:val="24"/>
        </w:rPr>
      </w:pPr>
      <w:r>
        <w:br w:type="page"/>
      </w:r>
    </w:p>
    <w:p w:rsidR="00484282" w:rsidRPr="00B602F2" w:rsidRDefault="00484282" w:rsidP="00B602F2">
      <w:pPr>
        <w:jc w:val="center"/>
        <w:rPr>
          <w:sz w:val="24"/>
          <w:szCs w:val="24"/>
        </w:rPr>
      </w:pPr>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E67D84" w:rsidRPr="00F825E1">
        <w:rPr>
          <w:rFonts w:ascii="Times New Roman" w:hAnsi="Times New Roman"/>
          <w:sz w:val="24"/>
          <w:szCs w:val="24"/>
        </w:rPr>
        <w:t xml:space="preserve">Открытого паевого инвестиционного фонда </w:t>
      </w:r>
      <w:r w:rsidR="00E67D84">
        <w:rPr>
          <w:rFonts w:ascii="Times New Roman" w:hAnsi="Times New Roman"/>
          <w:sz w:val="24"/>
          <w:szCs w:val="24"/>
        </w:rPr>
        <w:t>рыночных финансовых инструментов</w:t>
      </w:r>
      <w:r w:rsidR="00E67D84" w:rsidRPr="000C6C4D">
        <w:rPr>
          <w:rFonts w:ascii="Times New Roman" w:hAnsi="Times New Roman"/>
          <w:sz w:val="24"/>
          <w:szCs w:val="24"/>
        </w:rPr>
        <w:t xml:space="preserve"> </w:t>
      </w:r>
      <w:r w:rsidR="00337DBE" w:rsidRPr="00337DBE">
        <w:rPr>
          <w:rFonts w:ascii="Times New Roman" w:hAnsi="Times New Roman"/>
          <w:sz w:val="24"/>
          <w:szCs w:val="24"/>
        </w:rPr>
        <w:t>«Атлант»</w:t>
      </w:r>
      <w:r w:rsidR="00337DBE" w:rsidDel="00337DBE">
        <w:rPr>
          <w:rFonts w:ascii="Times New Roman" w:hAnsi="Times New Roman"/>
          <w:sz w:val="24"/>
          <w:szCs w:val="24"/>
        </w:rPr>
        <w:t xml:space="preserve"> </w:t>
      </w:r>
      <w:r w:rsidR="00E67D84" w:rsidRPr="00F825E1">
        <w:rPr>
          <w:rFonts w:ascii="Times New Roman" w:hAnsi="Times New Roman"/>
          <w:sz w:val="24"/>
          <w:szCs w:val="24"/>
        </w:rPr>
        <w:t xml:space="preserve">(далее – Фонд) под управлением Акционерного общества «РЕГИОН Эссет Менеджмент»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867899" w:rsidRPr="000064D7">
        <w:rPr>
          <w:rFonts w:eastAsia="Calibri"/>
          <w:sz w:val="24"/>
          <w:szCs w:val="24"/>
          <w:lang w:eastAsia="en-US"/>
        </w:rPr>
        <w:t xml:space="preserve">01 </w:t>
      </w:r>
      <w:r w:rsidR="00F013EC">
        <w:rPr>
          <w:rFonts w:eastAsia="Calibri"/>
          <w:sz w:val="24"/>
          <w:szCs w:val="24"/>
          <w:lang w:eastAsia="en-US"/>
        </w:rPr>
        <w:t>августа</w:t>
      </w:r>
      <w:r w:rsidR="00EC149B">
        <w:rPr>
          <w:rFonts w:eastAsia="Calibri"/>
          <w:sz w:val="24"/>
          <w:szCs w:val="24"/>
          <w:lang w:eastAsia="en-US"/>
        </w:rPr>
        <w:t xml:space="preserve"> </w:t>
      </w:r>
      <w:r w:rsidR="00EC149B" w:rsidRPr="000064D7">
        <w:rPr>
          <w:rFonts w:eastAsia="Calibri"/>
          <w:sz w:val="24"/>
          <w:szCs w:val="24"/>
          <w:lang w:eastAsia="en-US"/>
        </w:rPr>
        <w:t xml:space="preserve">  </w:t>
      </w:r>
      <w:r w:rsidR="0042481A" w:rsidRPr="000064D7">
        <w:rPr>
          <w:rFonts w:eastAsia="Calibri"/>
          <w:sz w:val="24"/>
          <w:szCs w:val="24"/>
          <w:lang w:eastAsia="en-US"/>
        </w:rPr>
        <w:t>20</w:t>
      </w:r>
      <w:r w:rsidR="00EC149B">
        <w:rPr>
          <w:rFonts w:eastAsia="Calibri"/>
          <w:sz w:val="24"/>
          <w:szCs w:val="24"/>
          <w:lang w:eastAsia="en-US"/>
        </w:rPr>
        <w:t>20</w:t>
      </w:r>
      <w:r w:rsidR="0042481A" w:rsidRPr="000064D7">
        <w:rPr>
          <w:rFonts w:eastAsia="Calibri"/>
          <w:sz w:val="24"/>
          <w:szCs w:val="24"/>
          <w:lang w:eastAsia="en-US"/>
        </w:rPr>
        <w:t>г.</w:t>
      </w:r>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lastRenderedPageBreak/>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2.85pt" o:ole="">
            <v:imagedata r:id="rId10" o:title=""/>
          </v:shape>
          <o:OLEObject Type="Embed" ProgID="Equation.3" ShapeID="_x0000_i1025" DrawAspect="Content" ObjectID="_1657116992"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35pt;height:16.7pt" o:ole="">
            <v:imagedata r:id="rId12" o:title=""/>
          </v:shape>
          <o:OLEObject Type="Embed" ProgID="Equation.3" ShapeID="_x0000_i1026" DrawAspect="Content" ObjectID="_1657116993"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2.65pt;height:12.65pt" o:ole="">
            <v:imagedata r:id="rId14" o:title=""/>
          </v:shape>
          <o:OLEObject Type="Embed" ProgID="Equation.3" ShapeID="_x0000_i1027" DrawAspect="Content" ObjectID="_1657116994"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2.6pt;height:18.45pt" o:ole="">
            <v:imagedata r:id="rId16" o:title=""/>
          </v:shape>
          <o:OLEObject Type="Embed" ProgID="Equation.3" ShapeID="_x0000_i1028" DrawAspect="Content" ObjectID="_1657116995"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2.65pt;height:18.45pt" o:ole="">
            <v:imagedata r:id="rId18" o:title=""/>
          </v:shape>
          <o:OLEObject Type="Embed" ProgID="Equation.3" ShapeID="_x0000_i1029" DrawAspect="Content" ObjectID="_1657116996"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3.65pt;height:47.8pt" o:ole="">
            <v:imagedata r:id="rId20" o:title=""/>
          </v:shape>
          <o:OLEObject Type="Embed" ProgID="Equation.3" ShapeID="_x0000_i1030" DrawAspect="Content" ObjectID="_1657116997"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7.8pt;height:18.45pt" o:ole="">
            <v:imagedata r:id="rId22" o:title=""/>
          </v:shape>
          <o:OLEObject Type="Embed" ProgID="Equation.3" ShapeID="_x0000_i1031" DrawAspect="Content" ObjectID="_1657116998"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4.2pt;height:18.45pt" o:ole="">
            <v:imagedata r:id="rId24" o:title=""/>
          </v:shape>
          <o:OLEObject Type="Embed" ProgID="Equation.3" ShapeID="_x0000_i1032" DrawAspect="Content" ObjectID="_1657116999"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35pt;height:9.2pt" o:ole="">
            <v:imagedata r:id="rId26" o:title=""/>
          </v:shape>
          <o:OLEObject Type="Embed" ProgID="Equation.3" ShapeID="_x0000_i1033" DrawAspect="Content" ObjectID="_1657117000"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35pt;height:21.9pt" o:ole="">
            <v:imagedata r:id="rId28" o:title=""/>
          </v:shape>
          <o:OLEObject Type="Embed" ProgID="Equation.3" ShapeID="_x0000_i1034" DrawAspect="Content" ObjectID="_1657117001"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35pt;height:25.35pt" o:ole="">
            <v:imagedata r:id="rId30" o:title=""/>
          </v:shape>
          <o:OLEObject Type="Embed" ProgID="Equation.3" ShapeID="_x0000_i1035" DrawAspect="Content" ObjectID="_1657117002"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w:t>
      </w:r>
      <w:r w:rsidRPr="00207827">
        <w:rPr>
          <w:rFonts w:eastAsia="Batang"/>
          <w:color w:val="000000"/>
          <w:szCs w:val="24"/>
        </w:rPr>
        <w:lastRenderedPageBreak/>
        <w:t>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8pt;height:18.45pt" o:ole="">
            <v:imagedata r:id="rId32" o:title=""/>
          </v:shape>
          <o:OLEObject Type="Embed" ProgID="Equation.3" ShapeID="_x0000_i1036" DrawAspect="Content" ObjectID="_1657117003"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4.15pt;height:32.25pt" o:ole="">
                  <v:imagedata r:id="rId34" o:title=""/>
                </v:shape>
                <o:OLEObject Type="Embed" ProgID="Equation.3" ShapeID="_x0000_i1038" DrawAspect="Content" ObjectID="_1657117004"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9" type="#_x0000_t75" style="width:12.65pt;height:18.45pt" o:ole="">
            <v:imagedata r:id="rId36" o:title=""/>
          </v:shape>
          <o:OLEObject Type="Embed" ProgID="Equation.3" ShapeID="_x0000_i1039" DrawAspect="Content" ObjectID="_1657117005" r:id="rId37"/>
        </w:object>
      </w:r>
      <w:r w:rsidRPr="00207827">
        <w:rPr>
          <w:rFonts w:eastAsia="Batang"/>
          <w:color w:val="000000"/>
          <w:szCs w:val="24"/>
        </w:rPr>
        <w:t xml:space="preserve"> и </w:t>
      </w:r>
      <w:r w:rsidRPr="00207827">
        <w:rPr>
          <w:rFonts w:eastAsia="Batang"/>
          <w:color w:val="000000"/>
          <w:szCs w:val="24"/>
        </w:rPr>
        <w:object w:dxaOrig="840" w:dyaOrig="360">
          <v:shape id="_x0000_i1040" type="#_x0000_t75" style="width:42.6pt;height:18.45pt" o:ole="">
            <v:imagedata r:id="rId38" o:title=""/>
          </v:shape>
          <o:OLEObject Type="Embed" ProgID="Equation.3" ShapeID="_x0000_i1040" DrawAspect="Content" ObjectID="_1657117006"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41" type="#_x0000_t75" style="width:221.75pt;height:51.85pt" o:ole="">
            <v:imagedata r:id="rId40" o:title=""/>
          </v:shape>
          <o:OLEObject Type="Embed" ProgID="Equation.3" ShapeID="_x0000_i1041" DrawAspect="Content" ObjectID="_1657117007"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2" type="#_x0000_t75" style="width:13.8pt;height:18.45pt" o:ole="">
            <v:imagedata r:id="rId42" o:title=""/>
          </v:shape>
          <o:OLEObject Type="Embed" ProgID="Equation.3" ShapeID="_x0000_i1042" DrawAspect="Content" ObjectID="_1657117008"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2.65pt;height:18.45pt" o:ole="">
            <v:imagedata r:id="rId44" o:title=""/>
          </v:shape>
          <o:OLEObject Type="Embed" ProgID="Equation.3" ShapeID="_x0000_i1043" DrawAspect="Content" ObjectID="_1657117009"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4" type="#_x0000_t75" style="width:12.65pt;height:12.65pt" o:ole="">
            <v:imagedata r:id="rId14" o:title=""/>
          </v:shape>
          <o:OLEObject Type="Embed" ProgID="Equation.3" ShapeID="_x0000_i1044" DrawAspect="Content" ObjectID="_1657117010"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5" type="#_x0000_t75" style="width:12.65pt;height:18.45pt" o:ole="">
            <v:imagedata r:id="rId47" o:title=""/>
          </v:shape>
          <o:OLEObject Type="Embed" ProgID="Equation.3" ShapeID="_x0000_i1045" DrawAspect="Content" ObjectID="_1657117011"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6" type="#_x0000_t75" style="width:12.65pt;height:18.45pt" o:ole="">
            <v:imagedata r:id="rId44" o:title=""/>
          </v:shape>
          <o:OLEObject Type="Embed" ProgID="Equation.3" ShapeID="_x0000_i1046" DrawAspect="Content" ObjectID="_1657117012"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7" type="#_x0000_t75" style="width:12.65pt;height:18.45pt" o:ole="">
            <v:imagedata r:id="rId47" o:title=""/>
          </v:shape>
          <o:OLEObject Type="Embed" ProgID="Equation.3" ShapeID="_x0000_i1047" DrawAspect="Content" ObjectID="_1657117013"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8" type="#_x0000_t75" style="width:12.65pt;height:18.45pt" o:ole="">
            <v:imagedata r:id="rId44" o:title=""/>
          </v:shape>
          <o:OLEObject Type="Embed" ProgID="Equation.3" ShapeID="_x0000_i1048" DrawAspect="Content" ObjectID="_1657117014"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9" type="#_x0000_t75" style="width:29.95pt;height:18.45pt" o:ole="">
            <v:imagedata r:id="rId52" o:title=""/>
          </v:shape>
          <o:OLEObject Type="Embed" ProgID="Equation.3" ShapeID="_x0000_i1049" DrawAspect="Content" ObjectID="_1657117015"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50" type="#_x0000_t75" style="width:42.6pt;height:17.3pt" o:ole="">
            <v:imagedata r:id="rId54" o:title=""/>
          </v:shape>
          <o:OLEObject Type="Embed" ProgID="Equation.3" ShapeID="_x0000_i1050" DrawAspect="Content" ObjectID="_1657117016"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51" type="#_x0000_t75" style="width:12.65pt;height:18.45pt" o:ole="">
            <v:imagedata r:id="rId44" o:title=""/>
          </v:shape>
          <o:OLEObject Type="Embed" ProgID="Equation.3" ShapeID="_x0000_i1051" DrawAspect="Content" ObjectID="_1657117017"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2" type="#_x0000_t75" style="width:382.45pt;height:130.75pt" o:ole="">
            <v:imagedata r:id="rId57" o:title=""/>
          </v:shape>
          <o:OLEObject Type="Embed" ProgID="Equation.3" ShapeID="_x0000_i1052" DrawAspect="Content" ObjectID="_1657117018"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3" type="#_x0000_t75" style="width:50.1pt;height:18.45pt" o:ole="">
            <v:imagedata r:id="rId59" o:title=""/>
          </v:shape>
          <o:OLEObject Type="Embed" ProgID="Equation.3" ShapeID="_x0000_i1053" DrawAspect="Content" ObjectID="_1657117019"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w:t>
      </w:r>
      <w:r w:rsidRPr="00207827">
        <w:rPr>
          <w:rFonts w:eastAsia="Batang"/>
          <w:color w:val="000000"/>
          <w:szCs w:val="24"/>
        </w:rPr>
        <w:lastRenderedPageBreak/>
        <w:t xml:space="preserve">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4" type="#_x0000_t75" style="width:25.35pt;height:18.45pt" o:ole="">
            <v:imagedata r:id="rId61" o:title=""/>
          </v:shape>
          <o:OLEObject Type="Embed" ProgID="Equation.3" ShapeID="_x0000_i1054" DrawAspect="Content" ObjectID="_1657117020"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5" type="#_x0000_t75" style="width:29.95pt;height:32.85pt" o:ole="">
            <v:imagedata r:id="rId63" o:title=""/>
          </v:shape>
          <o:OLEObject Type="Embed" ProgID="Equation.3" ShapeID="_x0000_i1055" DrawAspect="Content" ObjectID="_1657117021"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6" type="#_x0000_t75" style="width:10.35pt;height:9.2pt" o:ole="">
            <v:imagedata r:id="rId26" o:title=""/>
          </v:shape>
          <o:OLEObject Type="Embed" ProgID="Equation.3" ShapeID="_x0000_i1056" DrawAspect="Content" ObjectID="_1657117022"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7" type="#_x0000_t75" style="width:25.35pt;height:21.9pt" o:ole="">
            <v:imagedata r:id="rId28" o:title=""/>
          </v:shape>
          <o:OLEObject Type="Embed" ProgID="Equation.3" ShapeID="_x0000_i1057" DrawAspect="Content" ObjectID="_1657117023"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8" type="#_x0000_t75" style="width:12.65pt;height:18.45pt" o:ole="">
            <v:imagedata r:id="rId47" o:title=""/>
          </v:shape>
          <o:OLEObject Type="Embed" ProgID="Equation.3" ShapeID="_x0000_i1058" DrawAspect="Content" ObjectID="_1657117024"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9" type="#_x0000_t75" style="width:25.35pt;height:25.35pt" o:ole="">
            <v:imagedata r:id="rId30" o:title=""/>
          </v:shape>
          <o:OLEObject Type="Embed" ProgID="Equation.3" ShapeID="_x0000_i1059" DrawAspect="Content" ObjectID="_1657117025"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60" type="#_x0000_t75" style="width:12.65pt;height:18.45pt" o:ole="">
            <v:imagedata r:id="rId47" o:title=""/>
          </v:shape>
          <o:OLEObject Type="Embed" ProgID="Equation.3" ShapeID="_x0000_i1060" DrawAspect="Content" ObjectID="_1657117026"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61" type="#_x0000_t75" style="width:13.8pt;height:18.45pt" o:ole="">
            <v:imagedata r:id="rId32" o:title=""/>
          </v:shape>
          <o:OLEObject Type="Embed" ProgID="Equation.3" ShapeID="_x0000_i1061" DrawAspect="Content" ObjectID="_1657117027"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2" type="#_x0000_t75" style="width:12.65pt;height:18.45pt" o:ole="">
            <v:imagedata r:id="rId47" o:title=""/>
          </v:shape>
          <o:OLEObject Type="Embed" ProgID="Equation.3" ShapeID="_x0000_i1062" DrawAspect="Content" ObjectID="_1657117028"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3" type="#_x0000_t75" style="width:16.7pt;height:18.45pt" o:ole="">
            <v:imagedata r:id="rId72" o:title=""/>
          </v:shape>
          <o:OLEObject Type="Embed" ProgID="Equation.3" ShapeID="_x0000_i1063" DrawAspect="Content" ObjectID="_1657117029"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4" type="#_x0000_t75" style="width:13.8pt;height:18.45pt" o:ole="">
            <v:imagedata r:id="rId32" o:title=""/>
          </v:shape>
          <o:OLEObject Type="Embed" ProgID="Equation.3" ShapeID="_x0000_i1064" DrawAspect="Content" ObjectID="_1657117030"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5" type="#_x0000_t75" style="width:12.65pt;height:18.45pt" o:ole="">
            <v:imagedata r:id="rId47" o:title=""/>
          </v:shape>
          <o:OLEObject Type="Embed" ProgID="Equation.3" ShapeID="_x0000_i1065" DrawAspect="Content" ObjectID="_1657117031" r:id="rId75"/>
        </w:object>
      </w:r>
      <w:r w:rsidRPr="00207827">
        <w:rPr>
          <w:rFonts w:eastAsia="Batang"/>
          <w:color w:val="000000"/>
          <w:szCs w:val="24"/>
        </w:rPr>
        <w:t xml:space="preserve">, где </w:t>
      </w:r>
      <w:r w:rsidRPr="00207827">
        <w:rPr>
          <w:rFonts w:eastAsia="Batang"/>
          <w:color w:val="000000"/>
          <w:szCs w:val="24"/>
        </w:rPr>
        <w:object w:dxaOrig="1040" w:dyaOrig="680">
          <v:shape id="_x0000_i1066" type="#_x0000_t75" style="width:51.85pt;height:32.85pt" o:ole="">
            <v:imagedata r:id="rId76" o:title=""/>
          </v:shape>
          <o:OLEObject Type="Embed" ProgID="Equation.3" ShapeID="_x0000_i1066" DrawAspect="Content" ObjectID="_1657117032"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7" type="#_x0000_t75" style="width:133.65pt;height:65.65pt" o:ole="">
              <v:imagedata r:id="rId78" o:title=""/>
            </v:shape>
            <o:OLEObject Type="Embed" ProgID="Equation.3" ShapeID="_x0000_i1067" DrawAspect="Content" ObjectID="_1657117033"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65pt;height:63.35pt" o:ole="">
                  <v:imagedata r:id="rId80" o:title=""/>
                </v:shape>
                <o:OLEObject Type="Embed" ProgID="Equation.3" ShapeID="_x0000_i1069" DrawAspect="Content" ObjectID="_1657117034"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70" type="#_x0000_t75" style="width:12.65pt;height:18.45pt" o:ole="">
            <v:imagedata r:id="rId44" o:title=""/>
          </v:shape>
          <o:OLEObject Type="Embed" ProgID="Equation.3" ShapeID="_x0000_i1070" DrawAspect="Content" ObjectID="_1657117035" r:id="rId82"/>
        </w:object>
      </w:r>
      <w:r w:rsidRPr="00207827">
        <w:rPr>
          <w:rFonts w:eastAsia="Batang"/>
          <w:color w:val="000000"/>
          <w:szCs w:val="24"/>
        </w:rPr>
        <w:t xml:space="preserve"> и </w:t>
      </w:r>
      <w:r w:rsidRPr="00207827">
        <w:rPr>
          <w:rFonts w:eastAsia="Batang"/>
          <w:color w:val="000000"/>
          <w:szCs w:val="24"/>
        </w:rPr>
        <w:object w:dxaOrig="840" w:dyaOrig="380">
          <v:shape id="_x0000_i1071" type="#_x0000_t75" style="width:42.6pt;height:17.3pt" o:ole="">
            <v:imagedata r:id="rId54" o:title=""/>
          </v:shape>
          <o:OLEObject Type="Embed" ProgID="Equation.3" ShapeID="_x0000_i1071" DrawAspect="Content" ObjectID="_1657117036"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lastRenderedPageBreak/>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AE2EEA" w:rsidRDefault="00AE2EE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A71E53" w:rsidRDefault="003830AE" w:rsidP="00A71E53">
      <w:pPr>
        <w:ind w:left="4820"/>
        <w:jc w:val="right"/>
        <w:rPr>
          <w:b/>
          <w:sz w:val="24"/>
          <w:szCs w:val="24"/>
        </w:rPr>
      </w:pPr>
      <w:r w:rsidRPr="00B602F2">
        <w:rPr>
          <w:b/>
          <w:sz w:val="24"/>
          <w:szCs w:val="24"/>
        </w:rPr>
        <w:lastRenderedPageBreak/>
        <w:t>Приложение 1</w:t>
      </w:r>
      <w:bookmarkStart w:id="1" w:name="Par165"/>
      <w:bookmarkEnd w:id="1"/>
      <w:r w:rsidRPr="00B602F2">
        <w:rPr>
          <w:b/>
          <w:sz w:val="24"/>
          <w:szCs w:val="24"/>
        </w:rPr>
        <w:t xml:space="preserve">. </w:t>
      </w:r>
    </w:p>
    <w:p w:rsidR="003830AE" w:rsidRPr="00B602F2" w:rsidRDefault="003830AE" w:rsidP="00A71E53">
      <w:pPr>
        <w:jc w:val="both"/>
        <w:rPr>
          <w:b/>
          <w:sz w:val="24"/>
          <w:szCs w:val="24"/>
        </w:rPr>
      </w:pPr>
      <w:r w:rsidRPr="00B602F2">
        <w:rPr>
          <w:b/>
          <w:sz w:val="24"/>
          <w:szCs w:val="24"/>
        </w:rPr>
        <w:t>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подтвержденная выпиской со </w:t>
            </w:r>
            <w:r w:rsidRPr="006D7089">
              <w:rPr>
                <w:bCs/>
                <w:sz w:val="22"/>
                <w:szCs w:val="22"/>
              </w:rPr>
              <w:lastRenderedPageBreak/>
              <w:t>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xml:space="preserve">- дата списания с вклада (депозита) денежных средств, подтвержденная выпиской со </w:t>
            </w:r>
            <w:r w:rsidRPr="006D7089">
              <w:rPr>
                <w:bCs/>
                <w:sz w:val="22"/>
                <w:szCs w:val="22"/>
              </w:rPr>
              <w:lastRenderedPageBreak/>
              <w:t>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lastRenderedPageBreak/>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t xml:space="preserve">• дата погашения соответствующей части номинальной стоимости (полной номинальной стоимости), </w:t>
            </w:r>
            <w:r w:rsidRPr="006D7089">
              <w:rPr>
                <w:bCs/>
                <w:sz w:val="22"/>
                <w:szCs w:val="22"/>
              </w:rPr>
              <w:lastRenderedPageBreak/>
              <w:t>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lastRenderedPageBreak/>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t xml:space="preserve">При отсутствии информации из выше указанных источников (в </w:t>
            </w:r>
            <w:r w:rsidRPr="006D7089">
              <w:rPr>
                <w:bCs/>
                <w:sz w:val="22"/>
                <w:szCs w:val="22"/>
              </w:rPr>
              <w:lastRenderedPageBreak/>
              <w:t>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lastRenderedPageBreak/>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w:t>
            </w:r>
            <w:r w:rsidRPr="006D7089">
              <w:rPr>
                <w:bCs/>
                <w:sz w:val="22"/>
                <w:szCs w:val="22"/>
              </w:rPr>
              <w:lastRenderedPageBreak/>
              <w:t>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lastRenderedPageBreak/>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207827">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073D96">
            <w:pPr>
              <w:rPr>
                <w:bCs/>
                <w:sz w:val="24"/>
                <w:szCs w:val="24"/>
              </w:rPr>
            </w:pPr>
          </w:p>
          <w:p w:rsidR="00F013EC" w:rsidRPr="00055296" w:rsidRDefault="00F013EC" w:rsidP="00073D96">
            <w:pPr>
              <w:rPr>
                <w:bCs/>
                <w:sz w:val="24"/>
                <w:szCs w:val="24"/>
              </w:rPr>
            </w:pPr>
            <w:r w:rsidRPr="00913107">
              <w:rPr>
                <w:bCs/>
                <w:sz w:val="24"/>
                <w:szCs w:val="24"/>
              </w:rPr>
              <w:t>Дата  заключения  договора по покупке/продаже</w:t>
            </w:r>
            <w:r w:rsidRPr="00073D96">
              <w:rPr>
                <w:bCs/>
                <w:sz w:val="24"/>
                <w:szCs w:val="24"/>
              </w:rPr>
              <w:t>(Первое по времени из событий: Дата передачи денежных средств; Дата перехода права собственности на ценные бумаги, в случае сделок,</w:t>
            </w:r>
            <w:r>
              <w:rPr>
                <w:rFonts w:asciiTheme="minorHAnsi" w:hAnsiTheme="minorHAnsi" w:cs="TimesNewRomanPSMT"/>
                <w:sz w:val="24"/>
                <w:szCs w:val="24"/>
              </w:rPr>
              <w:t xml:space="preserve">  </w:t>
            </w:r>
            <w:r w:rsidRPr="00EF12B7">
              <w:rPr>
                <w:bCs/>
                <w:sz w:val="24"/>
                <w:szCs w:val="24"/>
              </w:rPr>
              <w:t xml:space="preserve">по которым наступила наиболее </w:t>
            </w:r>
            <w:r>
              <w:rPr>
                <w:bCs/>
                <w:sz w:val="24"/>
                <w:szCs w:val="24"/>
              </w:rPr>
              <w:t>ранняя дата расчетов)</w:t>
            </w:r>
            <w:r w:rsidRPr="003317C2">
              <w:rPr>
                <w:rFonts w:asciiTheme="minorHAnsi" w:hAnsiTheme="minorHAnsi" w:cs="TimesNewRomanPSMT"/>
                <w:sz w:val="24"/>
                <w:szCs w:val="24"/>
              </w:rPr>
              <w:t>.</w:t>
            </w:r>
          </w:p>
        </w:tc>
        <w:tc>
          <w:tcPr>
            <w:tcW w:w="3544" w:type="dxa"/>
            <w:shd w:val="clear" w:color="auto" w:fill="auto"/>
            <w:hideMark/>
          </w:tcPr>
          <w:p w:rsidR="00F013EC" w:rsidRPr="006D7089" w:rsidRDefault="00F013EC" w:rsidP="00B47CC0">
            <w:pPr>
              <w:rPr>
                <w:bCs/>
                <w:sz w:val="22"/>
                <w:szCs w:val="22"/>
              </w:rPr>
            </w:pPr>
            <w:r w:rsidRPr="006D7089">
              <w:rPr>
                <w:bCs/>
                <w:sz w:val="22"/>
                <w:szCs w:val="22"/>
              </w:rPr>
              <w:t>Дата исполнения обязательств перед Фондом согласно договору;</w:t>
            </w:r>
          </w:p>
          <w:p w:rsidR="00F013EC" w:rsidRPr="006D7089" w:rsidRDefault="00F013EC"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lastRenderedPageBreak/>
              <w:t xml:space="preserve">Кредиторская задолженность по выдаче паев </w:t>
            </w:r>
          </w:p>
        </w:tc>
        <w:tc>
          <w:tcPr>
            <w:tcW w:w="3360" w:type="dxa"/>
            <w:shd w:val="clear" w:color="auto" w:fill="auto"/>
            <w:vAlign w:val="center"/>
          </w:tcPr>
          <w:p w:rsidR="00F013EC" w:rsidRPr="006D7089" w:rsidRDefault="00F013EC" w:rsidP="00207827">
            <w:pPr>
              <w:jc w:val="both"/>
              <w:rPr>
                <w:bCs/>
                <w:sz w:val="22"/>
                <w:szCs w:val="22"/>
              </w:rPr>
            </w:pPr>
            <w:r w:rsidRPr="006D7089">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6D7089" w:rsidRDefault="00F013EC" w:rsidP="00207827">
            <w:pPr>
              <w:jc w:val="both"/>
              <w:rPr>
                <w:bCs/>
                <w:sz w:val="22"/>
                <w:szCs w:val="22"/>
              </w:rPr>
            </w:pPr>
            <w:r w:rsidRPr="006D7089">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207827">
            <w:pPr>
              <w:jc w:val="both"/>
              <w:rPr>
                <w:bCs/>
                <w:sz w:val="22"/>
                <w:szCs w:val="22"/>
              </w:rPr>
            </w:pPr>
            <w:r w:rsidRPr="006D7089">
              <w:rPr>
                <w:bCs/>
                <w:sz w:val="22"/>
                <w:szCs w:val="22"/>
              </w:rPr>
              <w:lastRenderedPageBreak/>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207827">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E9482C">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Default="00101924" w:rsidP="00B602F2">
      <w:pPr>
        <w:ind w:left="4820"/>
        <w:jc w:val="both"/>
        <w:rPr>
          <w:b/>
        </w:rPr>
      </w:pPr>
    </w:p>
    <w:p w:rsidR="00A71E53" w:rsidRPr="006D7089" w:rsidRDefault="00A71E53" w:rsidP="00B602F2">
      <w:pPr>
        <w:ind w:left="4820"/>
        <w:jc w:val="both"/>
        <w:rPr>
          <w:b/>
        </w:rPr>
      </w:pPr>
    </w:p>
    <w:p w:rsidR="000B0E41" w:rsidRPr="006D7089" w:rsidRDefault="000B0E41" w:rsidP="00B602F2">
      <w:pPr>
        <w:ind w:left="4820"/>
        <w:jc w:val="both"/>
        <w:rPr>
          <w:b/>
        </w:rPr>
      </w:pPr>
    </w:p>
    <w:p w:rsidR="003830AE" w:rsidRPr="00207827" w:rsidRDefault="003830AE" w:rsidP="00A71E53">
      <w:pPr>
        <w:ind w:left="4820"/>
        <w:jc w:val="right"/>
        <w:rPr>
          <w:b/>
          <w:sz w:val="24"/>
          <w:szCs w:val="24"/>
        </w:rPr>
      </w:pPr>
      <w:r w:rsidRPr="00207827">
        <w:rPr>
          <w:b/>
          <w:sz w:val="24"/>
          <w:szCs w:val="24"/>
        </w:rPr>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A71E53">
      <w:pPr>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 w:val="24"/>
          <w:szCs w:val="24"/>
        </w:rPr>
        <w:t>4</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lastRenderedPageBreak/>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lastRenderedPageBreak/>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m:t>
                  </m:r>
                  <m:r>
                    <w:rPr>
                      <w:rFonts w:ascii="Cambria Math" w:eastAsia="Calibri" w:hAnsi="Cambria Math"/>
                      <w:sz w:val="24"/>
                      <w:szCs w:val="24"/>
                      <w:lang w:eastAsia="en-US"/>
                    </w:rPr>
                    <m:t>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1C18A6"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t>Цена рассчитывается по формуле:</w:t>
      </w:r>
    </w:p>
    <w:p w:rsidR="0037389E" w:rsidRPr="00207827" w:rsidRDefault="001C18A6"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1C18A6"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1C18A6"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1C18A6"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C18A6"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1C18A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1C18A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1C18A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1C18A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1C18A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1C18A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1C18A6"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1C18A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1C18A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C18A6"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C18A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1C18A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1C18A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1C18A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1C18A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1C18A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862613" w:rsidRDefault="00862613" w:rsidP="00862613">
      <w:pPr>
        <w:spacing w:before="120"/>
        <w:contextualSpacing/>
        <w:jc w:val="both"/>
        <w:rPr>
          <w:sz w:val="24"/>
          <w:szCs w:val="24"/>
        </w:rPr>
      </w:pPr>
      <w:r>
        <w:rPr>
          <w:sz w:val="24"/>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 w:val="24"/>
          <w:szCs w:val="24"/>
          <w:lang w:val="en-US"/>
        </w:rPr>
        <w:t>Libor</w:t>
      </w:r>
      <w:r>
        <w:rPr>
          <w:sz w:val="24"/>
          <w:szCs w:val="24"/>
        </w:rPr>
        <w:t>.</w:t>
      </w:r>
    </w:p>
    <w:p w:rsidR="00862613" w:rsidRDefault="00862613" w:rsidP="00862613">
      <w:pPr>
        <w:rPr>
          <w:sz w:val="22"/>
          <w:szCs w:val="22"/>
        </w:rPr>
      </w:pPr>
      <w:r>
        <w:t>Для акций страной риска, которых признается США, может использоваться USD LIBOR - 12 months</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D817A7" w:rsidRDefault="00B34013" w:rsidP="006D7089">
      <w:pPr>
        <w:spacing w:before="120"/>
        <w:ind w:left="720"/>
        <w:contextualSpacing/>
        <w:jc w:val="both"/>
        <w:rPr>
          <w:rFonts w:eastAsia="Calibri"/>
          <w:sz w:val="24"/>
          <w:szCs w:val="24"/>
          <w:lang w:eastAsia="en-US"/>
        </w:rPr>
      </w:pPr>
    </w:p>
    <w:p w:rsidR="006B6AFB" w:rsidRPr="006B6AFB" w:rsidRDefault="006B6AFB"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D817A7" w:rsidRDefault="00451B1D" w:rsidP="006D7089">
      <w:pPr>
        <w:tabs>
          <w:tab w:val="num" w:pos="360"/>
        </w:tabs>
        <w:spacing w:before="120"/>
        <w:contextualSpacing/>
        <w:jc w:val="both"/>
        <w:rPr>
          <w:rFonts w:eastAsia="Calibri"/>
          <w:sz w:val="24"/>
          <w:szCs w:val="24"/>
          <w:lang w:eastAsia="en-US"/>
        </w:rPr>
      </w:pPr>
      <w:r w:rsidRPr="00D817A7">
        <w:rPr>
          <w:rFonts w:eastAsia="Calibri"/>
          <w:sz w:val="24"/>
          <w:szCs w:val="24"/>
          <w:lang w:eastAsia="en-US"/>
        </w:rPr>
        <w:t xml:space="preserve">- </w:t>
      </w:r>
      <w:r w:rsidR="00B34013" w:rsidRPr="00D817A7">
        <w:rPr>
          <w:rFonts w:eastAsia="Calibri"/>
          <w:sz w:val="24"/>
          <w:szCs w:val="24"/>
          <w:lang w:eastAsia="en-US"/>
        </w:rPr>
        <w:t>цена, рассчитанная Ценовым Центром НКО АО НРД по метод</w:t>
      </w:r>
      <w:r w:rsidR="003C70FC" w:rsidRPr="00D817A7">
        <w:rPr>
          <w:rFonts w:eastAsia="Calibri"/>
          <w:sz w:val="24"/>
          <w:szCs w:val="24"/>
          <w:lang w:eastAsia="en-US"/>
        </w:rPr>
        <w:t>ологиям определения справедливой стоимости, утвержденным 01.12.2017г и позднее</w:t>
      </w:r>
      <w:r w:rsidR="006E2923" w:rsidRPr="00D817A7">
        <w:rPr>
          <w:rFonts w:eastAsia="Calibri"/>
          <w:sz w:val="24"/>
          <w:szCs w:val="24"/>
          <w:lang w:eastAsia="en-US"/>
        </w:rPr>
        <w:t xml:space="preserve"> </w:t>
      </w:r>
      <w:r w:rsidR="00B34013" w:rsidRPr="00D817A7">
        <w:rPr>
          <w:rFonts w:eastAsia="Calibri"/>
          <w:sz w:val="24"/>
          <w:szCs w:val="24"/>
          <w:lang w:eastAsia="en-US"/>
        </w:rPr>
        <w:t>;</w:t>
      </w:r>
    </w:p>
    <w:p w:rsidR="00B34013" w:rsidRPr="00D817A7" w:rsidRDefault="00B34013" w:rsidP="006D7089">
      <w:pPr>
        <w:tabs>
          <w:tab w:val="num" w:pos="360"/>
        </w:tabs>
        <w:spacing w:before="120"/>
        <w:contextualSpacing/>
        <w:jc w:val="both"/>
        <w:rPr>
          <w:rFonts w:eastAsia="Calibri"/>
          <w:sz w:val="24"/>
          <w:szCs w:val="24"/>
          <w:lang w:eastAsia="en-US"/>
        </w:rPr>
      </w:pPr>
    </w:p>
    <w:p w:rsidR="00E62868" w:rsidRPr="00D817A7" w:rsidRDefault="00190665" w:rsidP="00207827">
      <w:pPr>
        <w:spacing w:after="240"/>
        <w:jc w:val="both"/>
        <w:rPr>
          <w:b/>
          <w:bCs/>
          <w:color w:val="000000"/>
          <w:sz w:val="24"/>
          <w:szCs w:val="24"/>
        </w:rPr>
      </w:pPr>
      <w:r w:rsidRPr="00D817A7">
        <w:rPr>
          <w:b/>
          <w:bCs/>
          <w:color w:val="000000"/>
          <w:sz w:val="24"/>
          <w:szCs w:val="24"/>
        </w:rPr>
        <w:t>Для</w:t>
      </w:r>
      <w:r w:rsidR="00E62868" w:rsidRPr="00D817A7">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 w:val="24"/>
          <w:szCs w:val="24"/>
        </w:rPr>
        <w:t>е</w:t>
      </w:r>
      <w:r w:rsidR="00E62868" w:rsidRPr="00D817A7">
        <w:rPr>
          <w:b/>
          <w:bCs/>
          <w:color w:val="000000"/>
          <w:sz w:val="24"/>
          <w:szCs w:val="24"/>
        </w:rPr>
        <w:t xml:space="preserve"> бума</w:t>
      </w:r>
      <w:r w:rsidR="00A3413F" w:rsidRPr="00D817A7">
        <w:rPr>
          <w:b/>
          <w:bCs/>
          <w:color w:val="000000"/>
          <w:sz w:val="24"/>
          <w:szCs w:val="24"/>
        </w:rPr>
        <w:t>ги</w:t>
      </w:r>
      <w:r w:rsidR="00894CA5" w:rsidRPr="00D817A7">
        <w:rPr>
          <w:b/>
          <w:bCs/>
          <w:color w:val="000000"/>
          <w:sz w:val="24"/>
          <w:szCs w:val="24"/>
        </w:rPr>
        <w:t>, для которых основным рынком является внебиржевой рынок</w:t>
      </w:r>
      <w:r w:rsidR="00236CED" w:rsidRPr="00D817A7">
        <w:rPr>
          <w:b/>
          <w:bCs/>
          <w:color w:val="000000"/>
          <w:sz w:val="24"/>
          <w:szCs w:val="24"/>
        </w:rPr>
        <w:t xml:space="preserve"> </w:t>
      </w:r>
      <w:r w:rsidR="00E62868" w:rsidRPr="00D817A7">
        <w:rPr>
          <w:b/>
          <w:bCs/>
          <w:color w:val="000000"/>
          <w:sz w:val="24"/>
          <w:szCs w:val="24"/>
        </w:rPr>
        <w:t>организаций</w:t>
      </w:r>
      <w:r w:rsidRPr="00D817A7">
        <w:rPr>
          <w:b/>
          <w:bCs/>
          <w:color w:val="000000"/>
          <w:sz w:val="24"/>
          <w:szCs w:val="24"/>
        </w:rPr>
        <w:t xml:space="preserve"> используются</w:t>
      </w:r>
      <w:r w:rsidR="00E62868" w:rsidRPr="00D817A7">
        <w:rPr>
          <w:b/>
          <w:bCs/>
          <w:color w:val="000000"/>
          <w:sz w:val="24"/>
          <w:szCs w:val="24"/>
        </w:rPr>
        <w:t>:</w:t>
      </w:r>
    </w:p>
    <w:p w:rsidR="00EB6766" w:rsidRPr="00D817A7" w:rsidRDefault="00EB6766" w:rsidP="006D7089">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котировк</w:t>
      </w:r>
      <w:r w:rsidR="00190665" w:rsidRPr="00D817A7">
        <w:rPr>
          <w:rFonts w:eastAsia="Calibri"/>
          <w:sz w:val="24"/>
          <w:szCs w:val="24"/>
          <w:lang w:eastAsia="en-US"/>
        </w:rPr>
        <w:t>и</w:t>
      </w:r>
      <w:r w:rsidRPr="00D817A7">
        <w:rPr>
          <w:rFonts w:eastAsia="Calibri"/>
          <w:sz w:val="24"/>
          <w:szCs w:val="24"/>
          <w:lang w:eastAsia="en-US"/>
        </w:rPr>
        <w:t xml:space="preserve">  информационно-котировальн</w:t>
      </w:r>
      <w:r w:rsidR="00190665" w:rsidRPr="00D817A7">
        <w:rPr>
          <w:rFonts w:eastAsia="Calibri"/>
          <w:sz w:val="24"/>
          <w:szCs w:val="24"/>
          <w:lang w:eastAsia="en-US"/>
        </w:rPr>
        <w:t>ой</w:t>
      </w:r>
      <w:r w:rsidRPr="00D817A7">
        <w:rPr>
          <w:rFonts w:eastAsia="Calibri"/>
          <w:sz w:val="24"/>
          <w:szCs w:val="24"/>
          <w:lang w:eastAsia="en-US"/>
        </w:rPr>
        <w:t xml:space="preserve"> систем</w:t>
      </w:r>
      <w:r w:rsidR="00190665" w:rsidRPr="00D817A7">
        <w:rPr>
          <w:rFonts w:eastAsia="Calibri"/>
          <w:sz w:val="24"/>
          <w:szCs w:val="24"/>
          <w:lang w:eastAsia="en-US"/>
        </w:rPr>
        <w:t>ы</w:t>
      </w:r>
      <w:r w:rsidRPr="00D817A7">
        <w:rPr>
          <w:rFonts w:eastAsia="Calibri"/>
          <w:sz w:val="24"/>
          <w:szCs w:val="24"/>
          <w:lang w:eastAsia="en-US"/>
        </w:rPr>
        <w:t xml:space="preserve"> (Bloomberg)</w:t>
      </w:r>
      <w:r w:rsidR="00190665" w:rsidRPr="00D817A7">
        <w:rPr>
          <w:rFonts w:eastAsia="Calibri"/>
          <w:sz w:val="24"/>
          <w:szCs w:val="24"/>
          <w:lang w:eastAsia="en-US"/>
        </w:rPr>
        <w:t xml:space="preserve"> </w:t>
      </w:r>
      <w:r w:rsidRPr="00D817A7">
        <w:rPr>
          <w:rFonts w:eastAsia="Calibri"/>
          <w:sz w:val="24"/>
          <w:szCs w:val="24"/>
          <w:lang w:eastAsia="en-US"/>
        </w:rPr>
        <w:t>в порядке очередности:</w:t>
      </w:r>
    </w:p>
    <w:p w:rsidR="00D179B7" w:rsidRPr="00D817A7" w:rsidRDefault="00D179B7" w:rsidP="00207827">
      <w:pPr>
        <w:numPr>
          <w:ilvl w:val="0"/>
          <w:numId w:val="66"/>
        </w:numPr>
        <w:jc w:val="both"/>
        <w:rPr>
          <w:sz w:val="24"/>
          <w:szCs w:val="24"/>
        </w:rPr>
      </w:pPr>
      <w:r w:rsidRPr="00D817A7">
        <w:rPr>
          <w:sz w:val="24"/>
          <w:szCs w:val="24"/>
        </w:rPr>
        <w:t xml:space="preserve">цена PX_LAST BGN (Bloomberg Generic), раскрываемая информационной системой "Блумберг" (Bloomberg) на дату определения СЧА; </w:t>
      </w:r>
    </w:p>
    <w:p w:rsidR="001B1FD4" w:rsidRPr="00D817A7" w:rsidRDefault="001B1FD4" w:rsidP="00207827">
      <w:pPr>
        <w:numPr>
          <w:ilvl w:val="0"/>
          <w:numId w:val="66"/>
        </w:numPr>
        <w:rPr>
          <w:sz w:val="24"/>
          <w:szCs w:val="24"/>
        </w:rPr>
      </w:pPr>
      <w:r w:rsidRPr="00D817A7">
        <w:rPr>
          <w:sz w:val="24"/>
          <w:szCs w:val="24"/>
        </w:rPr>
        <w:t>цена BVAL с BVAL Score равен или выше 6, рассчитанная информационным агентством Bloomberg.</w:t>
      </w:r>
    </w:p>
    <w:p w:rsidR="008E709B" w:rsidRPr="00D817A7" w:rsidRDefault="008E709B" w:rsidP="006D7089">
      <w:pPr>
        <w:tabs>
          <w:tab w:val="num" w:pos="360"/>
        </w:tabs>
        <w:spacing w:before="120"/>
        <w:contextualSpacing/>
        <w:jc w:val="both"/>
        <w:rPr>
          <w:rFonts w:eastAsia="Calibri"/>
          <w:sz w:val="24"/>
          <w:szCs w:val="24"/>
          <w:lang w:eastAsia="en-US"/>
        </w:rPr>
      </w:pPr>
      <w:r w:rsidRPr="00D817A7">
        <w:rPr>
          <w:sz w:val="24"/>
          <w:szCs w:val="24"/>
        </w:rPr>
        <w:t xml:space="preserve"> </w:t>
      </w:r>
    </w:p>
    <w:p w:rsidR="00E238AB" w:rsidRPr="00D817A7" w:rsidRDefault="00D239E8" w:rsidP="00E238AB">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 xml:space="preserve">цена, рассчитанная Ценовым Центром НКО АО НРД </w:t>
      </w:r>
      <w:r w:rsidR="00221B27" w:rsidRPr="00D817A7">
        <w:rPr>
          <w:rFonts w:eastAsia="Calibri"/>
          <w:sz w:val="24"/>
          <w:szCs w:val="24"/>
          <w:lang w:eastAsia="en-US"/>
        </w:rPr>
        <w:t xml:space="preserve">методологиям определения справедливой стоимости, утвержденным 01.12.2017г и позднее </w:t>
      </w:r>
    </w:p>
    <w:p w:rsidR="00D7733C" w:rsidRPr="00D817A7" w:rsidRDefault="00E238AB" w:rsidP="00E238AB">
      <w:pPr>
        <w:numPr>
          <w:ilvl w:val="0"/>
          <w:numId w:val="102"/>
        </w:numPr>
        <w:spacing w:before="120"/>
        <w:contextualSpacing/>
        <w:jc w:val="both"/>
        <w:rPr>
          <w:rFonts w:eastAsia="Calibri"/>
          <w:sz w:val="24"/>
          <w:szCs w:val="24"/>
        </w:rPr>
      </w:pPr>
      <w:r w:rsidRPr="00D817A7">
        <w:rPr>
          <w:bCs/>
          <w:color w:val="000000"/>
          <w:sz w:val="24"/>
          <w:szCs w:val="24"/>
        </w:rPr>
        <w:t xml:space="preserve"> </w:t>
      </w:r>
      <w:r w:rsidR="00D7733C" w:rsidRPr="00D817A7">
        <w:rPr>
          <w:bCs/>
          <w:color w:val="000000"/>
          <w:sz w:val="24"/>
          <w:szCs w:val="24"/>
        </w:rPr>
        <w:t>модель оценки, основанная на изменениях существенных событий</w:t>
      </w:r>
      <w:r w:rsidR="00D7733C" w:rsidRPr="00D817A7">
        <w:rPr>
          <w:bCs/>
          <w:i/>
          <w:color w:val="000000"/>
          <w:sz w:val="24"/>
          <w:szCs w:val="24"/>
        </w:rPr>
        <w:t xml:space="preserve"> (п</w:t>
      </w:r>
      <w:r w:rsidR="00D7733C" w:rsidRPr="00D817A7">
        <w:rPr>
          <w:rFonts w:eastAsia="Calibri"/>
          <w:i/>
          <w:sz w:val="24"/>
          <w:szCs w:val="24"/>
        </w:rPr>
        <w:t>рименяется в случае отсутствии цен</w:t>
      </w:r>
      <w:r w:rsidR="00761FA8" w:rsidRPr="00D817A7">
        <w:rPr>
          <w:rFonts w:eastAsia="Calibri"/>
          <w:i/>
          <w:sz w:val="24"/>
          <w:szCs w:val="24"/>
        </w:rPr>
        <w:t xml:space="preserve"> долговых ценных бумаг</w:t>
      </w:r>
      <w:r w:rsidR="00D7733C" w:rsidRPr="00D817A7">
        <w:rPr>
          <w:rFonts w:eastAsia="Calibri"/>
          <w:i/>
          <w:sz w:val="24"/>
          <w:szCs w:val="24"/>
        </w:rPr>
        <w:t>, вызванное выходными/неторговыми днями в  США)</w:t>
      </w:r>
    </w:p>
    <w:p w:rsidR="00834BCC" w:rsidRPr="00207827" w:rsidRDefault="00834BCC" w:rsidP="00207827">
      <w:pPr>
        <w:ind w:firstLine="426"/>
        <w:jc w:val="both"/>
        <w:rPr>
          <w:sz w:val="24"/>
          <w:szCs w:val="24"/>
        </w:rPr>
      </w:pPr>
      <w:r w:rsidRPr="00D817A7">
        <w:rPr>
          <w:sz w:val="24"/>
          <w:szCs w:val="24"/>
        </w:rPr>
        <w:t>Цена рассчитывается по формуле:</w:t>
      </w:r>
    </w:p>
    <w:p w:rsidR="00834BCC" w:rsidRPr="00207827" w:rsidRDefault="001C18A6"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1C18A6"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1C18A6"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42AFB6BD" wp14:editId="6A025450">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72" type="#_x0000_t75" style="width:145.15pt;height:34.55pt" o:ole="">
            <v:imagedata r:id="rId85" o:title=""/>
          </v:shape>
          <o:OLEObject Type="Embed" ProgID="Equation.3" ShapeID="_x0000_i1072" DrawAspect="Content" ObjectID="_1657117037"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D817A7"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 w:val="24"/>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6D7089">
      <w:pPr>
        <w:jc w:val="both"/>
        <w:rPr>
          <w:sz w:val="24"/>
          <w:szCs w:val="24"/>
        </w:rPr>
      </w:pPr>
      <w:r w:rsidRPr="00D817A7">
        <w:rPr>
          <w:sz w:val="24"/>
          <w:szCs w:val="24"/>
          <w:lang w:val="en-US"/>
        </w:rPr>
        <w:t>r</w:t>
      </w:r>
      <w:r w:rsidRPr="00D817A7">
        <w:rPr>
          <w:sz w:val="24"/>
          <w:szCs w:val="24"/>
        </w:rPr>
        <w:t>i– ставка кривой бескупонной доходности рынка ОФЗ (</w:t>
      </w:r>
      <w:r w:rsidRPr="00D817A7">
        <w:rPr>
          <w:sz w:val="24"/>
          <w:szCs w:val="24"/>
          <w:lang w:val="en-US"/>
        </w:rPr>
        <w:t>G</w:t>
      </w:r>
      <w:r w:rsidRPr="00D817A7">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w:t>
      </w:r>
      <w:r w:rsidR="00334063">
        <w:rPr>
          <w:sz w:val="24"/>
          <w:szCs w:val="24"/>
        </w:rPr>
        <w:t>, а в случае и его отсутствия рейтинг</w:t>
      </w:r>
      <w:r w:rsidRPr="00B602F2">
        <w:rPr>
          <w:sz w:val="24"/>
          <w:szCs w:val="24"/>
        </w:rPr>
        <w:t>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1C18A6"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51080E" w:rsidRPr="00B602F2" w:rsidRDefault="0051080E"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1C18A6"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6D7089">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1C18A6"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1C18A6"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1C18A6"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207827">
        <w:rPr>
          <w:sz w:val="24"/>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1C18A6"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1C18A6"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1C18A6"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73" type="#_x0000_t75" style="width:145.15pt;height:34.55pt" o:ole="">
            <v:imagedata r:id="rId85" o:title=""/>
          </v:shape>
          <o:OLEObject Type="Embed" ProgID="Equation.3" ShapeID="_x0000_i1073" DrawAspect="Content" ObjectID="_1657117038"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D817A7"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 w:val="24"/>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 w:val="24"/>
          <w:szCs w:val="24"/>
          <w:lang w:val="en-US"/>
        </w:rPr>
        <w:t>r</w:t>
      </w:r>
      <w:r w:rsidRPr="00D817A7">
        <w:rPr>
          <w:sz w:val="24"/>
          <w:szCs w:val="24"/>
        </w:rPr>
        <w:t xml:space="preserve">i– ставка </w:t>
      </w:r>
      <w:r w:rsidRPr="00D817A7">
        <w:rPr>
          <w:sz w:val="24"/>
          <w:szCs w:val="24"/>
          <w:lang w:val="en-US"/>
        </w:rPr>
        <w:t>LIBOR</w:t>
      </w:r>
      <w:r w:rsidRPr="00D817A7">
        <w:rPr>
          <w:sz w:val="24"/>
          <w:szCs w:val="24"/>
        </w:rPr>
        <w:t xml:space="preserve">, наиболее близкая к сроку погашения облигации, или значение на кривой доходностей </w:t>
      </w:r>
      <w:r w:rsidRPr="00D817A7">
        <w:rPr>
          <w:sz w:val="24"/>
          <w:szCs w:val="24"/>
          <w:lang w:val="en-US"/>
        </w:rPr>
        <w:t>US</w:t>
      </w:r>
      <w:r w:rsidRPr="00D817A7">
        <w:rPr>
          <w:sz w:val="24"/>
          <w:szCs w:val="24"/>
        </w:rPr>
        <w:t xml:space="preserve"> </w:t>
      </w:r>
      <w:r w:rsidRPr="00D817A7">
        <w:rPr>
          <w:sz w:val="24"/>
          <w:szCs w:val="24"/>
          <w:lang w:val="en-US"/>
        </w:rPr>
        <w:t>Treasures</w:t>
      </w:r>
      <w:r w:rsidRPr="00D817A7">
        <w:rPr>
          <w:sz w:val="24"/>
          <w:szCs w:val="24"/>
        </w:rPr>
        <w:t xml:space="preserve"> наиболее близкая к сроку погашения облигации;</w:t>
      </w:r>
    </w:p>
    <w:p w:rsidR="00ED16C2" w:rsidRPr="00D817A7" w:rsidRDefault="00ED16C2" w:rsidP="006D7089">
      <w:pPr>
        <w:jc w:val="both"/>
        <w:rPr>
          <w:sz w:val="24"/>
          <w:szCs w:val="24"/>
        </w:rPr>
      </w:pPr>
      <w:r w:rsidRPr="00D817A7">
        <w:rPr>
          <w:sz w:val="24"/>
          <w:szCs w:val="24"/>
          <w:lang w:val="en-US"/>
        </w:rPr>
        <w:t>CrSpread</w:t>
      </w:r>
      <w:r w:rsidRPr="00D817A7">
        <w:rPr>
          <w:sz w:val="24"/>
          <w:szCs w:val="24"/>
        </w:rPr>
        <w:t xml:space="preserve"> – кредитный спред облигационного индекса (расчет приведен ниже);</w:t>
      </w:r>
    </w:p>
    <w:p w:rsidR="00ED16C2" w:rsidRPr="00D817A7" w:rsidRDefault="00ED16C2" w:rsidP="006D7089">
      <w:pPr>
        <w:jc w:val="both"/>
        <w:rPr>
          <w:sz w:val="24"/>
          <w:szCs w:val="24"/>
        </w:rPr>
      </w:pPr>
      <w:r w:rsidRPr="00D817A7">
        <w:rPr>
          <w:sz w:val="24"/>
          <w:szCs w:val="24"/>
        </w:rPr>
        <w:t>ti</w:t>
      </w:r>
      <w:r w:rsidRPr="00D817A7">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D817A7">
        <w:rPr>
          <w:sz w:val="24"/>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 w:val="24"/>
          <w:szCs w:val="24"/>
        </w:rPr>
        <w:t xml:space="preserve"> преддефолтным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B602F2">
        <w:rPr>
          <w:sz w:val="24"/>
          <w:szCs w:val="24"/>
        </w:rPr>
        <w:t>,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срок депозита «до востребования» или менее 1 (одного года) с даты размещения денежных средств, и процентная ставка по депозиту признана рыночной ;</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BC2044" w:rsidRDefault="00BC2044" w:rsidP="00BC2044">
      <w:pPr>
        <w:pStyle w:val="11"/>
        <w:tabs>
          <w:tab w:val="left" w:pos="993"/>
        </w:tabs>
        <w:spacing w:before="120"/>
        <w:ind w:left="0"/>
        <w:jc w:val="both"/>
        <w:rPr>
          <w:rFonts w:eastAsia="Batang"/>
          <w:szCs w:val="24"/>
        </w:rPr>
      </w:pPr>
      <w:r>
        <w:rPr>
          <w:rFonts w:eastAsia="Batang"/>
          <w:b/>
          <w:szCs w:val="24"/>
        </w:rPr>
        <w:t xml:space="preserve">Порядок признания процентной ставки рыночной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Pr>
          <w:szCs w:val="24"/>
        </w:rPr>
        <w:t xml:space="preserve"> </w:t>
      </w:r>
      <w:r w:rsidRPr="00E443D6">
        <w:rPr>
          <w:rFonts w:ascii="Times New Roman" w:eastAsia="Batang" w:hAnsi="Times New Roman"/>
          <w:color w:val="000000"/>
          <w:sz w:val="24"/>
          <w:szCs w:val="24"/>
          <w:lang w:eastAsia="ru-RU"/>
        </w:rPr>
        <w:t>На дату оценки производится проверка соответствия процентной ставки по депозиту, определенной в договоре банковского вклада, рыночным условиям.</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признается рыночной, если выполнено условие:</w:t>
      </w:r>
    </w:p>
    <w:p w:rsidR="00BC2044" w:rsidRPr="00E443D6" w:rsidRDefault="001C18A6"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1C18A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KV – коэффициент волатильности рыночной ставки на горизонте 12 месяцев, определяемый по формуле:</w:t>
      </w:r>
    </w:p>
    <w:p w:rsidR="00BC2044" w:rsidRPr="004971C9" w:rsidRDefault="00BC2044" w:rsidP="00E443D6">
      <w:pPr>
        <w:pStyle w:val="a3"/>
        <w:spacing w:line="240" w:lineRule="auto"/>
        <w:jc w:val="center"/>
        <w:rPr>
          <w:rFonts w:ascii="Times New Roman" w:eastAsia="Batang" w:hAnsi="Times New Roman"/>
          <w:color w:val="000000"/>
          <w:sz w:val="24"/>
          <w:szCs w:val="24"/>
          <w:lang w:val="en-US" w:eastAsia="ru-RU"/>
        </w:rPr>
      </w:pPr>
      <w:r w:rsidRPr="004971C9">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4971C9">
        <w:rPr>
          <w:rFonts w:ascii="Times New Roman" w:eastAsia="Batang" w:hAnsi="Times New Roman"/>
          <w:color w:val="000000"/>
          <w:sz w:val="24"/>
          <w:szCs w:val="24"/>
          <w:lang w:val="en-US" w:eastAsia="ru-RU"/>
        </w:rPr>
        <w:t xml:space="preserve">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 xml:space="preserve"> – максимальная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0" w:history="1">
        <w:r w:rsidRPr="00E443D6">
          <w:rPr>
            <w:rFonts w:ascii="Times New Roman" w:eastAsia="Batang" w:hAnsi="Times New Roman"/>
            <w:color w:val="000000"/>
            <w:sz w:val="24"/>
            <w:szCs w:val="24"/>
            <w:lang w:eastAsia="ru-RU"/>
          </w:rPr>
          <w:t>http://www.cbr.ru/statistics/?PrtId=int_rat</w:t>
        </w:r>
      </w:hyperlink>
      <w:r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1C18A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minr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минимальная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1" w:history="1">
        <w:r w:rsidR="00BC2044" w:rsidRPr="00E443D6">
          <w:rPr>
            <w:rFonts w:ascii="Times New Roman" w:eastAsia="Batang" w:hAnsi="Times New Roman"/>
            <w:color w:val="000000"/>
            <w:sz w:val="24"/>
            <w:szCs w:val="24"/>
            <w:lang w:eastAsia="ru-RU"/>
          </w:rPr>
          <w:t>http://www.cbr.ru/statistics/?PrtId=int_rat</w:t>
        </w:r>
      </w:hyperlink>
      <w:r w:rsidR="00BC2044"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1C18A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00BC2044" w:rsidRPr="00E443D6">
        <w:rPr>
          <w:rFonts w:ascii="Times New Roman" w:eastAsia="Batang" w:hAnsi="Times New Roman"/>
          <w:color w:val="000000"/>
          <w:sz w:val="24"/>
          <w:szCs w:val="24"/>
          <w:lang w:eastAsia="ru-RU"/>
        </w:rPr>
        <w:t xml:space="preserve"> - оценка средневзвешенной рыночной процентной ставки, определенная по формуле:</w:t>
      </w:r>
    </w:p>
    <w:p w:rsidR="00BC2044" w:rsidRPr="00E443D6" w:rsidRDefault="001C18A6"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1C18A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1C18A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oMath>
      <w:r w:rsidR="00BC2044" w:rsidRPr="00E443D6">
        <w:rPr>
          <w:rFonts w:ascii="Times New Roman" w:eastAsia="Batang" w:hAnsi="Times New Roman"/>
          <w:color w:val="000000"/>
          <w:sz w:val="24"/>
          <w:szCs w:val="24"/>
          <w:lang w:eastAsia="ru-RU"/>
        </w:rPr>
        <w:t xml:space="preserve"> - ключевая ставка ЦБ РФ, установленная на дату оценки;</w:t>
      </w:r>
    </w:p>
    <w:p w:rsidR="00BC2044" w:rsidRPr="00E443D6" w:rsidRDefault="001C18A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oMath>
      <w:r w:rsidR="00BC2044" w:rsidRPr="00E443D6">
        <w:rPr>
          <w:rFonts w:ascii="Times New Roman" w:eastAsia="Batang" w:hAnsi="Times New Roman"/>
          <w:color w:val="000000"/>
          <w:sz w:val="24"/>
          <w:szCs w:val="24"/>
          <w:lang w:eastAsia="ru-RU"/>
        </w:rPr>
        <w:t xml:space="preserve">  - средняя ключевая ставка ЦБ РФ за календарный месяц, за который определена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Средняя за календарный месяц ключевая ставка ЦБ РФ рассчитывается по формуле:</w:t>
      </w:r>
    </w:p>
    <w:p w:rsidR="00BC2044" w:rsidRPr="00E443D6" w:rsidRDefault="001C18A6"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f>
            <m:fPr>
              <m:ctrlPr>
                <w:rPr>
                  <w:rFonts w:ascii="Cambria Math" w:eastAsia="Batang" w:hAnsi="Cambria Math"/>
                  <w:color w:val="000000"/>
                  <w:sz w:val="24"/>
                  <w:szCs w:val="24"/>
                  <w:lang w:eastAsia="ru-RU"/>
                </w:rPr>
              </m:ctrlPr>
            </m:fPr>
            <m:num>
              <m:nary>
                <m:naryPr>
                  <m:chr m:val="∑"/>
                  <m:limLoc m:val="undOvr"/>
                  <m:supHide m:val="1"/>
                  <m:ctrlPr>
                    <w:rPr>
                      <w:rFonts w:ascii="Cambria Math" w:eastAsia="Batang" w:hAnsi="Cambria Math"/>
                      <w:color w:val="000000"/>
                      <w:sz w:val="24"/>
                      <w:szCs w:val="24"/>
                      <w:lang w:eastAsia="ru-RU"/>
                    </w:rPr>
                  </m:ctrlPr>
                </m:naryPr>
                <m:sub>
                  <m:r>
                    <m:rPr>
                      <m:sty m:val="p"/>
                    </m:rPr>
                    <w:rPr>
                      <w:rFonts w:ascii="Cambria Math" w:eastAsia="Batang" w:hAnsi="Cambria Math"/>
                      <w:color w:val="000000"/>
                      <w:sz w:val="24"/>
                      <w:szCs w:val="24"/>
                      <w:lang w:eastAsia="ru-RU"/>
                    </w:rPr>
                    <m:t>i</m:t>
                  </m:r>
                </m:sub>
                <m:sup/>
                <m:e>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e>
              </m:nary>
            </m:num>
            <m:den>
              <m:r>
                <m:rPr>
                  <m:sty m:val="p"/>
                </m:rPr>
                <w:rPr>
                  <w:rFonts w:ascii="Cambria Math" w:eastAsia="Batang" w:hAnsi="Cambria Math"/>
                  <w:color w:val="000000"/>
                  <w:sz w:val="24"/>
                  <w:szCs w:val="24"/>
                  <w:lang w:eastAsia="ru-RU"/>
                </w:rPr>
                <m:t>T</m:t>
              </m:r>
            </m:den>
          </m:f>
          <m:r>
            <m:rPr>
              <m:sty m:val="p"/>
            </m:rPr>
            <w:rPr>
              <w:rFonts w:ascii="Cambria Math" w:eastAsia="Batang" w:hAnsi="Cambria Math"/>
              <w:color w:val="000000"/>
              <w:sz w:val="24"/>
              <w:szCs w:val="24"/>
              <w:lang w:eastAsia="ru-RU"/>
            </w:rPr>
            <m:t>,</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T</m:t>
        </m:r>
      </m:oMath>
      <w:r w:rsidRPr="00E443D6">
        <w:rPr>
          <w:rFonts w:ascii="Times New Roman" w:eastAsia="Batang" w:hAnsi="Times New Roman"/>
          <w:color w:val="000000"/>
          <w:sz w:val="24"/>
          <w:szCs w:val="24"/>
          <w:lang w:eastAsia="ru-RU"/>
        </w:rPr>
        <w:t xml:space="preserve"> - количество дней в календарном месяце, за который рассчитывается процентная ставка;</w:t>
      </w:r>
    </w:p>
    <w:p w:rsidR="00BC2044" w:rsidRPr="00E443D6" w:rsidRDefault="001C18A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ключевая ставка ЦБ РФ, действовавшая в i-ом периоде календарного месяца,</w:t>
      </w:r>
    </w:p>
    <w:p w:rsidR="00BC2044" w:rsidRPr="00E443D6" w:rsidRDefault="001C18A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количество дней календарного месяца, в течение которых действовала процентная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не признается рыночной, в качестве рыночной признается ставка</w:t>
      </w:r>
      <m:oMath>
        <m:r>
          <m:rPr>
            <m:sty m:val="p"/>
          </m:rPr>
          <w:rPr>
            <w:rFonts w:ascii="Cambria Math" w:eastAsia="Batang" w:hAnsi="Cambria Math"/>
            <w:color w:val="000000"/>
            <w:sz w:val="24"/>
            <w:szCs w:val="24"/>
            <w:lang w:eastAsia="ru-RU"/>
          </w:rPr>
          <m:t xml:space="preserve"> </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в долларах США или Евро признается рыночной, если выполнено условие:</w:t>
      </w:r>
    </w:p>
    <w:p w:rsidR="00BC2044" w:rsidRPr="00E443D6" w:rsidRDefault="001C18A6"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KV – коэффициент волатильности рыночной ставки на горизонте 12 месяцев, определяемый по соответствующим средневзвешенным ставкам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oMath>
    </w:p>
    <w:p w:rsidR="00BC2044" w:rsidRPr="00E443D6" w:rsidRDefault="001C18A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1C18A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w:t>
      </w:r>
    </w:p>
    <w:p w:rsidR="00BC2044" w:rsidRDefault="00BC2044" w:rsidP="00BC2044">
      <w:pPr>
        <w:pStyle w:val="11"/>
        <w:tabs>
          <w:tab w:val="left" w:pos="993"/>
        </w:tabs>
        <w:jc w:val="both"/>
        <w:rPr>
          <w:rFonts w:eastAsia="Batang"/>
          <w:color w:val="000000"/>
          <w:szCs w:val="24"/>
        </w:rPr>
      </w:pPr>
      <w:r>
        <w:rPr>
          <w:rFonts w:eastAsia="Batang"/>
          <w:b/>
          <w:color w:val="000000"/>
          <w:szCs w:val="24"/>
        </w:rPr>
        <w:t>Приведенная стоимость будущих денежных потоков рассчитывается по формуле</w:t>
      </w:r>
      <w:r>
        <w:rPr>
          <w:rFonts w:eastAsia="Batang"/>
          <w:color w:val="000000"/>
          <w:szCs w:val="24"/>
        </w:rPr>
        <w:t>:</w:t>
      </w:r>
    </w:p>
    <w:p w:rsidR="00BC2044" w:rsidRDefault="00BC2044" w:rsidP="00E443D6">
      <w:pPr>
        <w:pStyle w:val="11"/>
        <w:tabs>
          <w:tab w:val="left" w:pos="993"/>
        </w:tabs>
        <w:ind w:left="0"/>
        <w:jc w:val="center"/>
        <w:rPr>
          <w:rFonts w:eastAsia="Batang"/>
          <w:color w:val="000000"/>
          <w:szCs w:val="24"/>
        </w:rPr>
      </w:pPr>
      <w:r>
        <w:rPr>
          <w:rFonts w:eastAsia="Batang"/>
          <w:color w:val="000000"/>
          <w:szCs w:val="24"/>
        </w:rPr>
        <w:object w:dxaOrig="2100" w:dyaOrig="690">
          <v:shape id="_x0000_i1074" type="#_x0000_t75" style="width:104.85pt;height:34.55pt" o:ole="">
            <v:imagedata r:id="rId92" o:title=""/>
          </v:shape>
          <o:OLEObject Type="Embed" ProgID="Equation.3" ShapeID="_x0000_i1074" DrawAspect="Content" ObjectID="_1657117039" r:id="rId93"/>
        </w:object>
      </w:r>
    </w:p>
    <w:p w:rsidR="00BC2044" w:rsidRDefault="00BC2044" w:rsidP="00BC2044">
      <w:pPr>
        <w:pStyle w:val="11"/>
        <w:tabs>
          <w:tab w:val="left" w:pos="993"/>
        </w:tabs>
        <w:ind w:left="0"/>
        <w:jc w:val="both"/>
        <w:rPr>
          <w:rFonts w:eastAsia="Batang"/>
          <w:color w:val="000000"/>
          <w:szCs w:val="24"/>
        </w:rPr>
      </w:pPr>
    </w:p>
    <w:p w:rsidR="00BC2044" w:rsidRDefault="00BC2044" w:rsidP="00BC2044">
      <w:pPr>
        <w:pStyle w:val="11"/>
        <w:tabs>
          <w:tab w:val="left" w:pos="993"/>
        </w:tabs>
        <w:ind w:left="0"/>
        <w:jc w:val="both"/>
        <w:rPr>
          <w:rFonts w:eastAsia="Batang"/>
          <w:color w:val="000000"/>
          <w:szCs w:val="24"/>
        </w:rPr>
      </w:pPr>
      <w:r>
        <w:rPr>
          <w:rFonts w:eastAsia="Batang"/>
          <w:color w:val="000000"/>
          <w:szCs w:val="24"/>
        </w:rPr>
        <w:t>PV – справедливая стоимость актива (обязательства);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количество денежных потоков до даты погашения актива (обязательства),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255" w:dyaOrig="375">
          <v:shape id="_x0000_i1075" type="#_x0000_t75" style="width:13.25pt;height:19pt" o:ole="">
            <v:imagedata r:id="rId94" o:title=""/>
          </v:shape>
          <o:OLEObject Type="Embed" ProgID="Equation.3" ShapeID="_x0000_i1075" DrawAspect="Content" ObjectID="_1657117040" r:id="rId95"/>
        </w:object>
      </w:r>
      <w:r>
        <w:rPr>
          <w:rFonts w:eastAsia="Batang"/>
          <w:color w:val="000000"/>
          <w:szCs w:val="24"/>
        </w:rPr>
        <w:t xml:space="preserve">  - сумма n-ого денежного потока (проценты и основная сумма); </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порядковый номер денежного потока,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360" w:dyaOrig="375">
          <v:shape id="_x0000_i1076" type="#_x0000_t75" style="width:17.85pt;height:19pt" o:ole="">
            <v:imagedata r:id="rId96" o:title=""/>
          </v:shape>
          <o:OLEObject Type="Embed" ProgID="Equation.3" ShapeID="_x0000_i1076" DrawAspect="Content" ObjectID="_1657117041" r:id="rId97"/>
        </w:object>
      </w:r>
      <w:r>
        <w:rPr>
          <w:rFonts w:eastAsia="Batang"/>
          <w:color w:val="000000"/>
          <w:szCs w:val="24"/>
        </w:rPr>
        <w:t xml:space="preserve">  - количество дней от даты определения СЧА до даты n-ого денежного потока;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 xml:space="preserve">r  - ставка        дисконтирования    в   процентах   годовых,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Pr>
          <w:rFonts w:eastAsia="Batang"/>
          <w:color w:val="000000"/>
          <w:szCs w:val="24"/>
        </w:rPr>
        <w:t>.</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BC2044" w:rsidRDefault="00BC2044" w:rsidP="00BC2044">
      <w:pPr>
        <w:pStyle w:val="11"/>
        <w:tabs>
          <w:tab w:val="left" w:pos="993"/>
        </w:tabs>
        <w:jc w:val="both"/>
        <w:rPr>
          <w:rFonts w:eastAsia="Batang"/>
          <w:color w:val="000000"/>
          <w:szCs w:val="24"/>
        </w:rPr>
      </w:pPr>
      <w:r>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9E60BE" w:rsidP="006D7089">
      <w:pPr>
        <w:pStyle w:val="11"/>
        <w:tabs>
          <w:tab w:val="left" w:pos="993"/>
        </w:tabs>
        <w:ind w:left="0"/>
        <w:jc w:val="both"/>
        <w:rPr>
          <w:rFonts w:eastAsia="Batang"/>
          <w:color w:val="000000"/>
          <w:szCs w:val="24"/>
        </w:rPr>
      </w:pPr>
      <w:r w:rsidRPr="00E443D6" w:rsidDel="009E60BE">
        <w:rPr>
          <w:rFonts w:eastAsia="Batang"/>
          <w:color w:val="000000"/>
          <w:szCs w:val="24"/>
        </w:rPr>
        <w:t xml:space="preserve"> </w:t>
      </w:r>
      <w:r w:rsidR="00D929E1" w:rsidRPr="00E443D6">
        <w:rPr>
          <w:rFonts w:eastAsia="Batang"/>
          <w:color w:val="000000"/>
          <w:szCs w:val="24"/>
        </w:rPr>
        <w:t xml:space="preserve"> </w:t>
      </w:r>
    </w:p>
    <w:p w:rsidR="00D929E1" w:rsidRPr="00E443D6" w:rsidRDefault="00D929E1" w:rsidP="00E443D6">
      <w:pPr>
        <w:pStyle w:val="11"/>
        <w:tabs>
          <w:tab w:val="left" w:pos="993"/>
        </w:tabs>
        <w:ind w:left="0"/>
        <w:jc w:val="both"/>
        <w:rPr>
          <w:rFonts w:eastAsia="Batang"/>
          <w:color w:val="000000"/>
          <w:szCs w:val="24"/>
        </w:rPr>
      </w:pPr>
      <w:r w:rsidRPr="00E443D6">
        <w:rPr>
          <w:rFonts w:eastAsia="Batang"/>
          <w:color w:val="000000"/>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E443D6" w:rsidRDefault="00E201F4" w:rsidP="00E443D6">
      <w:pPr>
        <w:pStyle w:val="11"/>
        <w:tabs>
          <w:tab w:val="left" w:pos="993"/>
        </w:tabs>
        <w:ind w:left="0"/>
        <w:jc w:val="both"/>
        <w:rPr>
          <w:rFonts w:eastAsia="Batang"/>
          <w:color w:val="000000"/>
          <w:szCs w:val="24"/>
        </w:rPr>
      </w:pPr>
      <w:r w:rsidRPr="00E443D6">
        <w:rPr>
          <w:rFonts w:eastAsia="Batang"/>
          <w:color w:val="000000"/>
          <w:szCs w:val="24"/>
        </w:rPr>
        <w:t>Справедливая стоимость драгоценных металлов и требований к кредитной организации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1C5011" w:rsidRPr="006749DA" w:rsidRDefault="00B123AB" w:rsidP="006749DA">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В случае, если договором не установлена ставка РЕПО</w:t>
      </w:r>
      <w:r w:rsidR="00073567" w:rsidRPr="006749DA">
        <w:rPr>
          <w:rFonts w:eastAsia="Batang"/>
          <w:color w:val="000000"/>
          <w:szCs w:val="24"/>
        </w:rPr>
        <w:t xml:space="preserve">, ставка рассчитывается </w:t>
      </w:r>
      <w:r w:rsidRPr="006749DA">
        <w:rPr>
          <w:rFonts w:eastAsia="Batang"/>
          <w:color w:val="000000"/>
          <w:szCs w:val="24"/>
        </w:rPr>
        <w:t>в соответствии с условиями сделки в следующем порядке:</w:t>
      </w:r>
    </w:p>
    <w:p w:rsidR="001C5011" w:rsidRPr="00271C76" w:rsidRDefault="001C5011" w:rsidP="001C5011">
      <w:pPr>
        <w:pStyle w:val="a3"/>
        <w:spacing w:before="120" w:after="120" w:line="240" w:lineRule="auto"/>
        <w:contextualSpacing w:val="0"/>
        <w:jc w:val="both"/>
        <w:rPr>
          <w:rFonts w:ascii="Times New Roman" w:hAnsi="Times New Roman"/>
          <w:szCs w:val="20"/>
        </w:rPr>
      </w:pPr>
    </w:p>
    <w:p w:rsidR="001C5011" w:rsidRPr="00271C76" w:rsidRDefault="001C5011" w:rsidP="001C5011">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1C5011" w:rsidRPr="006749DA" w:rsidRDefault="001C18A6"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1C5011" w:rsidRPr="006749DA">
        <w:rPr>
          <w:rFonts w:eastAsia="Batang"/>
          <w:color w:val="000000"/>
          <w:szCs w:val="24"/>
        </w:rPr>
        <w:t xml:space="preserve"> – сумма 2 части (с учетом купонного дохода) согласно условиям сделки РЕПО;</w:t>
      </w:r>
    </w:p>
    <w:p w:rsidR="001C5011" w:rsidRPr="006749DA" w:rsidRDefault="001C18A6"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1C5011" w:rsidRPr="006749DA">
        <w:rPr>
          <w:rFonts w:eastAsia="Batang"/>
          <w:color w:val="000000"/>
          <w:szCs w:val="24"/>
        </w:rPr>
        <w:t xml:space="preserve"> – сумма 1 части (с учетом купонного дохода) согласно условиям сделки РЕПО;</w:t>
      </w:r>
    </w:p>
    <w:p w:rsidR="001C5011" w:rsidRPr="006749DA" w:rsidRDefault="001C18A6"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1C5011"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1C5011" w:rsidRPr="006749DA" w:rsidRDefault="001C18A6"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1C5011"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073567"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процентом выражении с точно</w:t>
      </w:r>
      <w:r w:rsidR="00073567" w:rsidRPr="006749DA">
        <w:rPr>
          <w:rFonts w:eastAsia="Batang"/>
          <w:color w:val="000000"/>
          <w:szCs w:val="24"/>
        </w:rPr>
        <w:t>стью до 8 знаков после запятой.</w:t>
      </w:r>
    </w:p>
    <w:p w:rsidR="00F013EC" w:rsidRPr="006749DA" w:rsidRDefault="00D92538" w:rsidP="00F013EC">
      <w:pPr>
        <w:pStyle w:val="11"/>
        <w:tabs>
          <w:tab w:val="left" w:pos="993"/>
        </w:tabs>
        <w:ind w:left="0"/>
        <w:jc w:val="both"/>
        <w:rPr>
          <w:rFonts w:eastAsia="Batang"/>
          <w:color w:val="000000"/>
          <w:szCs w:val="24"/>
        </w:rPr>
      </w:pPr>
      <w:r w:rsidRPr="006749DA">
        <w:rPr>
          <w:rFonts w:eastAsia="Batang"/>
          <w:color w:val="000000"/>
          <w:szCs w:val="24"/>
        </w:rPr>
        <w:t>Проверка соответствия  ставки по договору РЕПО и ставки ЭСП рыночной производится  на дату расчета СЧА в порядке, прописанном для определения справедливой стоимости депозитов</w:t>
      </w:r>
      <w:r w:rsidR="00F013EC">
        <w:rPr>
          <w:rFonts w:eastAsia="Batang"/>
          <w:color w:val="000000"/>
          <w:szCs w:val="24"/>
        </w:rPr>
        <w:t xml:space="preserve">, </w:t>
      </w:r>
      <w:r w:rsidR="001C5011" w:rsidRPr="006749DA">
        <w:rPr>
          <w:rFonts w:eastAsia="Batang"/>
          <w:color w:val="000000"/>
          <w:szCs w:val="24"/>
        </w:rPr>
        <w:t xml:space="preserve"> </w:t>
      </w:r>
      <w:r w:rsidR="00F013EC">
        <w:rPr>
          <w:rFonts w:eastAsia="Batang"/>
          <w:color w:val="000000"/>
          <w:szCs w:val="24"/>
        </w:rPr>
        <w:t xml:space="preserve">при этом используются средневзвешенные ставки </w:t>
      </w:r>
      <w:r w:rsidR="00F013EC">
        <w:rPr>
          <w:szCs w:val="24"/>
        </w:rPr>
        <w:t>по кредитам, предоставленным кредитными организациями (по 30-ти крупнейшим банкам) нефинансовым организациям</w:t>
      </w:r>
      <w:r w:rsidR="00F013EC" w:rsidRPr="006749DA">
        <w:rPr>
          <w:rFonts w:eastAsia="Batang"/>
          <w:color w:val="000000"/>
          <w:szCs w:val="24"/>
        </w:rPr>
        <w:t>.</w:t>
      </w:r>
    </w:p>
    <w:p w:rsidR="001436AE" w:rsidRPr="006749DA" w:rsidRDefault="001436AE" w:rsidP="001436A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F013EC">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сделка РЕПО заключена на организованном рынке ценных бумаг через центрального контрагента (на стандартных условиях) или</w:t>
      </w:r>
    </w:p>
    <w:p w:rsidR="00F013EC" w:rsidRDefault="001C5011" w:rsidP="00F013EC">
      <w:pPr>
        <w:pStyle w:val="11"/>
        <w:numPr>
          <w:ilvl w:val="0"/>
          <w:numId w:val="139"/>
        </w:numPr>
        <w:tabs>
          <w:tab w:val="left" w:pos="993"/>
        </w:tabs>
        <w:jc w:val="both"/>
        <w:rPr>
          <w:rFonts w:eastAsia="Batang"/>
          <w:color w:val="000000"/>
          <w:szCs w:val="24"/>
        </w:rPr>
      </w:pPr>
      <w:r w:rsidRPr="006749DA">
        <w:rPr>
          <w:rFonts w:eastAsia="Batang"/>
          <w:color w:val="000000"/>
          <w:szCs w:val="24"/>
        </w:rPr>
        <w:t>условия сделки РЕПО (в том числе ставка РЕПО) не отличается существенно от стандартных условий по биржевым сделкам РЕПО (сделкам, заключенным в отношении идентичной или аналогичной ценной бумаги на сопоставимый срок).</w:t>
      </w:r>
      <w:r w:rsidR="00F013EC" w:rsidRPr="00F013EC">
        <w:rPr>
          <w:rFonts w:eastAsia="Batang"/>
          <w:color w:val="000000"/>
          <w:szCs w:val="24"/>
        </w:rPr>
        <w:t xml:space="preserve"> </w:t>
      </w:r>
    </w:p>
    <w:p w:rsidR="00F013EC" w:rsidRDefault="00F013EC" w:rsidP="00F013EC">
      <w:pPr>
        <w:pStyle w:val="11"/>
        <w:tabs>
          <w:tab w:val="left" w:pos="993"/>
        </w:tabs>
        <w:jc w:val="both"/>
        <w:rPr>
          <w:rFonts w:eastAsia="Batang"/>
          <w:color w:val="000000"/>
          <w:szCs w:val="24"/>
        </w:rPr>
      </w:pPr>
    </w:p>
    <w:p w:rsidR="00F013EC" w:rsidRPr="006749DA" w:rsidRDefault="00F013EC" w:rsidP="00F013EC">
      <w:pPr>
        <w:pStyle w:val="11"/>
        <w:tabs>
          <w:tab w:val="left" w:pos="993"/>
        </w:tabs>
        <w:jc w:val="both"/>
        <w:rPr>
          <w:rFonts w:eastAsia="Batang"/>
          <w:color w:val="000000"/>
          <w:szCs w:val="24"/>
        </w:rPr>
      </w:pPr>
      <w:r w:rsidRPr="000B424C">
        <w:rPr>
          <w:rFonts w:eastAsia="Batang"/>
          <w:color w:val="000000"/>
          <w:szCs w:val="24"/>
        </w:rPr>
        <w:t>Проверка ставки РЕПО осуществлена в соответствии с Разделом Порядок признания процентной ставки рыночной</w:t>
      </w:r>
    </w:p>
    <w:p w:rsidR="001C5011" w:rsidRPr="006749DA" w:rsidRDefault="001C5011" w:rsidP="00F013EC">
      <w:pPr>
        <w:pStyle w:val="11"/>
        <w:tabs>
          <w:tab w:val="left" w:pos="993"/>
        </w:tabs>
        <w:jc w:val="both"/>
        <w:rPr>
          <w:rFonts w:eastAsia="Batang"/>
          <w:color w:val="000000"/>
          <w:szCs w:val="24"/>
        </w:rPr>
      </w:pPr>
    </w:p>
    <w:p w:rsidR="000E00C0" w:rsidRPr="006749DA" w:rsidRDefault="000E00C0"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073567" w:rsidRPr="006749DA">
        <w:rPr>
          <w:rFonts w:eastAsia="Batang"/>
          <w:color w:val="000000"/>
          <w:szCs w:val="24"/>
        </w:rPr>
        <w:t xml:space="preserve">В иных случаях </w:t>
      </w:r>
      <w:r w:rsidR="009E60BE" w:rsidRPr="006749DA">
        <w:rPr>
          <w:rFonts w:eastAsia="Batang"/>
          <w:color w:val="000000"/>
          <w:szCs w:val="24"/>
        </w:rPr>
        <w:t xml:space="preserve">применяется </w:t>
      </w:r>
      <w:r w:rsidRPr="006749DA">
        <w:rPr>
          <w:rFonts w:eastAsia="Batang"/>
          <w:color w:val="000000"/>
          <w:szCs w:val="24"/>
        </w:rPr>
        <w:t>подходы прописанные для определения справедливой стоимости депозитов.</w:t>
      </w:r>
    </w:p>
    <w:p w:rsidR="00EC149B" w:rsidRDefault="00EC149B" w:rsidP="000E00C0">
      <w:pPr>
        <w:pStyle w:val="11"/>
        <w:tabs>
          <w:tab w:val="left" w:pos="993"/>
        </w:tabs>
        <w:spacing w:line="360" w:lineRule="auto"/>
        <w:ind w:left="0"/>
        <w:jc w:val="both"/>
        <w:rPr>
          <w:szCs w:val="24"/>
        </w:rPr>
      </w:pPr>
    </w:p>
    <w:p w:rsidR="00EC149B" w:rsidRPr="00971600" w:rsidRDefault="00EC149B" w:rsidP="000E00C0">
      <w:pPr>
        <w:pStyle w:val="11"/>
        <w:tabs>
          <w:tab w:val="left" w:pos="993"/>
        </w:tabs>
        <w:spacing w:line="360" w:lineRule="auto"/>
        <w:ind w:left="0"/>
        <w:jc w:val="both"/>
        <w:rPr>
          <w:szCs w:val="24"/>
        </w:rPr>
      </w:pPr>
      <w:r>
        <w:rPr>
          <w:szCs w:val="24"/>
        </w:rPr>
        <w:t>Ставка ЭСП о</w:t>
      </w:r>
      <w:r w:rsidR="00CA743E">
        <w:rPr>
          <w:szCs w:val="24"/>
        </w:rPr>
        <w:t>п</w:t>
      </w:r>
      <w:r>
        <w:rPr>
          <w:szCs w:val="24"/>
        </w:rPr>
        <w:t>ределяется:</w:t>
      </w:r>
    </w:p>
    <w:p w:rsidR="00EC149B" w:rsidRDefault="001C18A6"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12 знаков после запятой),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1C18A6"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1C18A6"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1C18A6"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6D7089">
      <w:pPr>
        <w:contextualSpacing/>
        <w:jc w:val="both"/>
        <w:rPr>
          <w:rFonts w:eastAsia="Calibri"/>
          <w:b/>
          <w:sz w:val="24"/>
          <w:szCs w:val="24"/>
          <w:lang w:eastAsia="en-US"/>
        </w:rPr>
      </w:pPr>
      <w:r w:rsidRPr="00B602F2">
        <w:rPr>
          <w:rFonts w:eastAsia="Calibri"/>
          <w:b/>
          <w:sz w:val="24"/>
          <w:szCs w:val="24"/>
          <w:lang w:eastAsia="en-US"/>
        </w:rPr>
        <w:t>Дебиторская задолженность по ценным бумагам</w:t>
      </w:r>
      <w:r w:rsidR="002A3AC1">
        <w:rPr>
          <w:rFonts w:eastAsia="Calibri"/>
          <w:b/>
          <w:sz w:val="24"/>
          <w:szCs w:val="24"/>
          <w:lang w:eastAsia="en-US"/>
        </w:rPr>
        <w:t xml:space="preserve">, в том числе по </w:t>
      </w:r>
      <w:r w:rsidRPr="00B602F2">
        <w:rPr>
          <w:rFonts w:eastAsia="Calibri"/>
          <w:b/>
          <w:sz w:val="24"/>
          <w:szCs w:val="24"/>
          <w:lang w:eastAsia="en-US"/>
        </w:rPr>
        <w:t>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p>
    <w:p w:rsidR="002A3AC1" w:rsidRPr="00B602F2" w:rsidRDefault="002A3AC1" w:rsidP="006D7089">
      <w:pPr>
        <w:contextualSpacing/>
        <w:jc w:val="both"/>
        <w:rPr>
          <w:rFonts w:eastAsia="Calibri"/>
          <w:b/>
          <w:sz w:val="24"/>
          <w:szCs w:val="24"/>
          <w:lang w:eastAsia="en-US"/>
        </w:rPr>
      </w:pPr>
    </w:p>
    <w:p w:rsidR="002A3AC1" w:rsidRDefault="002A3AC1" w:rsidP="00510CC1">
      <w:pPr>
        <w:contextualSpacing/>
        <w:jc w:val="both"/>
        <w:rPr>
          <w:rFonts w:eastAsia="Calibri"/>
          <w:sz w:val="24"/>
          <w:szCs w:val="24"/>
          <w:lang w:eastAsia="en-US"/>
        </w:rPr>
      </w:pPr>
    </w:p>
    <w:p w:rsidR="00524AFE" w:rsidRPr="00B602F2" w:rsidRDefault="002A3AC1" w:rsidP="00510CC1">
      <w:pPr>
        <w:ind w:left="426"/>
        <w:contextualSpacing/>
        <w:jc w:val="both"/>
        <w:rPr>
          <w:rFonts w:eastAsia="Calibri"/>
          <w:sz w:val="24"/>
          <w:szCs w:val="24"/>
          <w:lang w:eastAsia="en-US"/>
        </w:rPr>
      </w:pPr>
      <w:r>
        <w:rPr>
          <w:rFonts w:eastAsia="Calibri"/>
          <w:sz w:val="24"/>
          <w:szCs w:val="24"/>
          <w:lang w:eastAsia="en-US"/>
        </w:rPr>
        <w:t>1.</w:t>
      </w:r>
      <w:r w:rsidR="005C554F">
        <w:rPr>
          <w:rFonts w:eastAsia="Calibri"/>
          <w:sz w:val="24"/>
          <w:szCs w:val="24"/>
          <w:lang w:eastAsia="en-US"/>
        </w:rPr>
        <w:t xml:space="preserve">1. </w:t>
      </w:r>
      <w:r>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3"/>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 w:val="24"/>
          <w:szCs w:val="24"/>
          <w:lang w:eastAsia="en-US"/>
        </w:rPr>
      </w:pP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b</w:t>
      </w:r>
      <w:r>
        <w:rPr>
          <w:rFonts w:eastAsia="Calibri"/>
          <w:sz w:val="24"/>
          <w:szCs w:val="24"/>
          <w:lang w:eastAsia="en-US"/>
        </w:rPr>
        <w:t xml:space="preserve">) </w:t>
      </w:r>
      <w:r w:rsidR="00524AFE"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c</w:t>
      </w:r>
      <w:r>
        <w:rPr>
          <w:rFonts w:eastAsia="Calibri"/>
          <w:sz w:val="24"/>
          <w:szCs w:val="24"/>
          <w:lang w:eastAsia="en-US"/>
        </w:rPr>
        <w:t xml:space="preserve">)   </w:t>
      </w:r>
      <w:r w:rsidR="00524AFE"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00524AFE" w:rsidRPr="00B602F2">
        <w:rPr>
          <w:rFonts w:eastAsia="Calibri"/>
          <w:sz w:val="24"/>
          <w:szCs w:val="24"/>
          <w:lang w:eastAsia="en-US"/>
        </w:rPr>
        <w:t>.</w:t>
      </w:r>
    </w:p>
    <w:p w:rsidR="00524AFE" w:rsidRPr="00B602F2" w:rsidRDefault="005C554F" w:rsidP="00510CC1">
      <w:pPr>
        <w:ind w:left="426"/>
        <w:contextualSpacing/>
        <w:jc w:val="both"/>
        <w:rPr>
          <w:rFonts w:eastAsia="Calibri"/>
          <w:sz w:val="24"/>
          <w:szCs w:val="24"/>
          <w:lang w:eastAsia="en-US"/>
        </w:rPr>
      </w:pPr>
      <w:r>
        <w:rPr>
          <w:rFonts w:eastAsia="Calibri"/>
          <w:sz w:val="24"/>
          <w:szCs w:val="24"/>
          <w:lang w:eastAsia="en-US"/>
        </w:rPr>
        <w:t xml:space="preserve">1.2. </w:t>
      </w:r>
      <w:r w:rsidR="00524AFE"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00524AFE"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D817A7"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BA7A3B" w:rsidRPr="00D817A7" w:rsidRDefault="00BA7A3B" w:rsidP="007F610B">
      <w:pPr>
        <w:contextualSpacing/>
        <w:jc w:val="both"/>
        <w:rPr>
          <w:rFonts w:eastAsia="Calibri"/>
          <w:b/>
          <w:sz w:val="24"/>
          <w:szCs w:val="24"/>
          <w:lang w:eastAsia="en-US"/>
        </w:rPr>
      </w:pPr>
    </w:p>
    <w:p w:rsidR="00BA7A3B" w:rsidRPr="00D817A7" w:rsidRDefault="00BA7A3B" w:rsidP="00D817A7">
      <w:pPr>
        <w:pStyle w:val="aff"/>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BA7A3B">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D817A7">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D817A7">
      <w:pPr>
        <w:pStyle w:val="11"/>
        <w:tabs>
          <w:tab w:val="left" w:pos="486"/>
        </w:tabs>
        <w:ind w:left="486"/>
        <w:contextualSpacing/>
        <w:jc w:val="both"/>
        <w:rPr>
          <w:rFonts w:eastAsia="Calibri"/>
          <w:b/>
          <w:szCs w:val="24"/>
          <w:lang w:eastAsia="en-US"/>
        </w:rPr>
      </w:pPr>
    </w:p>
    <w:p w:rsidR="00524AFE" w:rsidRPr="0055074B" w:rsidRDefault="00BA7A3B" w:rsidP="00D817A7">
      <w:pPr>
        <w:contextualSpacing/>
        <w:jc w:val="both"/>
        <w:rPr>
          <w:rFonts w:eastAsia="Calibri"/>
          <w:sz w:val="24"/>
          <w:szCs w:val="24"/>
          <w:lang w:eastAsia="en-US"/>
        </w:rPr>
      </w:pPr>
      <w:r w:rsidRPr="0055074B">
        <w:rPr>
          <w:rFonts w:eastAsia="Calibri"/>
          <w:sz w:val="24"/>
          <w:szCs w:val="24"/>
          <w:lang w:eastAsia="en-US"/>
        </w:rPr>
        <w:t xml:space="preserve">         </w:t>
      </w:r>
      <w:r w:rsidR="008E1ACE" w:rsidRPr="0055074B">
        <w:rPr>
          <w:rFonts w:eastAsia="Calibri"/>
          <w:sz w:val="24"/>
          <w:szCs w:val="24"/>
          <w:lang w:eastAsia="en-US"/>
        </w:rPr>
        <w:t>В целях настоящего пункта под операционной дебиторской задолженностью понимается определенная на основании внутренних статистических данных управляющей компании текущая дебиторская задолженность контрагентов, срок погашения которой в соответствии со сложившейся в рамках доверительного управления паевым инвестиционным фондом практикой не превышает 3-хмесяцев. Превышение сроков погашения операционной дебиторской задолженности контрагентами, влечет к обесценению.</w:t>
      </w:r>
      <w:r w:rsidRPr="0055074B">
        <w:rPr>
          <w:rFonts w:eastAsia="Calibri"/>
          <w:sz w:val="24"/>
          <w:szCs w:val="24"/>
          <w:lang w:eastAsia="en-US"/>
        </w:rPr>
        <w:t xml:space="preserve"> </w:t>
      </w:r>
    </w:p>
    <w:p w:rsidR="00BA7A3B" w:rsidRPr="00D817A7" w:rsidRDefault="006C0691" w:rsidP="007F610B">
      <w:pPr>
        <w:ind w:firstLine="709"/>
        <w:contextualSpacing/>
        <w:jc w:val="both"/>
        <w:rPr>
          <w:rFonts w:eastAsia="Calibri"/>
          <w:sz w:val="24"/>
          <w:szCs w:val="24"/>
          <w:lang w:eastAsia="en-US"/>
        </w:rPr>
      </w:pPr>
      <w:r w:rsidRPr="0055074B">
        <w:rPr>
          <w:rFonts w:eastAsia="Calibri"/>
          <w:sz w:val="24"/>
          <w:szCs w:val="24"/>
          <w:lang w:eastAsia="en-US"/>
        </w:rPr>
        <w:t xml:space="preserve">2. </w:t>
      </w:r>
      <w:r w:rsidR="00524AFE" w:rsidRPr="0055074B">
        <w:rPr>
          <w:rFonts w:eastAsia="Calibri"/>
          <w:sz w:val="24"/>
          <w:szCs w:val="24"/>
          <w:lang w:eastAsia="en-US"/>
        </w:rPr>
        <w:t>в иных случаях с момента признания до наступления срока полного погашения</w:t>
      </w:r>
      <w:r w:rsidR="00524AFE" w:rsidRPr="00B602F2">
        <w:rPr>
          <w:rFonts w:eastAsia="Calibri"/>
          <w:sz w:val="24"/>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w:t>
      </w:r>
      <w:r w:rsidR="00EC149B">
        <w:rPr>
          <w:rFonts w:eastAsia="Calibri"/>
          <w:sz w:val="24"/>
          <w:szCs w:val="24"/>
          <w:lang w:eastAsia="en-US"/>
        </w:rPr>
        <w:t xml:space="preserve"> ЭС</w:t>
      </w:r>
      <w:r w:rsidR="006E51D8">
        <w:rPr>
          <w:rFonts w:eastAsia="Calibri"/>
          <w:sz w:val="24"/>
          <w:szCs w:val="24"/>
          <w:lang w:eastAsia="en-US"/>
        </w:rPr>
        <w:t>П</w:t>
      </w:r>
      <w:r w:rsidR="00EC149B">
        <w:rPr>
          <w:rFonts w:eastAsia="Calibri"/>
          <w:sz w:val="24"/>
          <w:szCs w:val="24"/>
          <w:lang w:eastAsia="en-US"/>
        </w:rPr>
        <w:t xml:space="preserve">. </w:t>
      </w:r>
    </w:p>
    <w:p w:rsidR="00BA7A3B" w:rsidRPr="00D817A7" w:rsidRDefault="00BA7A3B" w:rsidP="007F610B">
      <w:pPr>
        <w:ind w:firstLine="709"/>
        <w:contextualSpacing/>
        <w:jc w:val="both"/>
        <w:rPr>
          <w:rFonts w:eastAsia="Calibri"/>
          <w:sz w:val="24"/>
          <w:szCs w:val="24"/>
          <w:lang w:eastAsia="en-US"/>
        </w:rPr>
      </w:pPr>
    </w:p>
    <w:p w:rsidR="00D929E1"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C47DEE" w:rsidRPr="00B602F2" w:rsidRDefault="00C47DEE" w:rsidP="006D7089">
      <w:pPr>
        <w:pStyle w:val="a3"/>
        <w:spacing w:after="0" w:line="240" w:lineRule="auto"/>
        <w:ind w:left="0"/>
        <w:jc w:val="both"/>
        <w:rPr>
          <w:rFonts w:ascii="Times New Roman" w:hAnsi="Times New Roman"/>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D817A7"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153864" w:rsidP="006D7089">
      <w:pPr>
        <w:jc w:val="both"/>
        <w:rPr>
          <w:sz w:val="24"/>
          <w:szCs w:val="24"/>
        </w:rPr>
      </w:pPr>
      <w:r>
        <w:rPr>
          <w:sz w:val="24"/>
          <w:szCs w:val="24"/>
        </w:rPr>
        <w:t xml:space="preserve">       Оценивается</w:t>
      </w:r>
      <w:r w:rsidRPr="00B602F2">
        <w:rPr>
          <w:sz w:val="24"/>
          <w:szCs w:val="24"/>
        </w:rPr>
        <w:t xml:space="preserve"> </w:t>
      </w:r>
      <w:r w:rsidR="00524AFE" w:rsidRPr="00B602F2">
        <w:rPr>
          <w:sz w:val="24"/>
          <w:szCs w:val="24"/>
        </w:rPr>
        <w:t>в размере ее остатка на дату определения стоимости чистых активов</w:t>
      </w:r>
      <w:r>
        <w:rPr>
          <w:sz w:val="24"/>
          <w:szCs w:val="24"/>
        </w:rPr>
        <w:t xml:space="preserve"> и н</w:t>
      </w:r>
      <w:r w:rsidR="00524AFE" w:rsidRPr="00B602F2">
        <w:rPr>
          <w:sz w:val="24"/>
          <w:szCs w:val="24"/>
        </w:rPr>
        <w:t>е дисконтируется</w:t>
      </w:r>
      <w:r>
        <w:rPr>
          <w:sz w:val="24"/>
          <w:szCs w:val="24"/>
        </w:rPr>
        <w:t xml:space="preserve">  следующая кредиторская задолженность:</w:t>
      </w:r>
    </w:p>
    <w:p w:rsidR="00153864" w:rsidRPr="00D817A7" w:rsidRDefault="00153864" w:rsidP="00D817A7">
      <w:pPr>
        <w:jc w:val="both"/>
        <w:rPr>
          <w:sz w:val="24"/>
          <w:szCs w:val="24"/>
        </w:rPr>
      </w:pPr>
      <w:r w:rsidRPr="00D817A7">
        <w:rPr>
          <w:sz w:val="24"/>
          <w:szCs w:val="24"/>
        </w:rPr>
        <w:t xml:space="preserve"> -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уплате</w:t>
      </w:r>
      <w:r w:rsidRPr="00D817A7">
        <w:rPr>
          <w:sz w:val="24"/>
          <w:szCs w:val="24"/>
        </w:rPr>
        <w:t xml:space="preserve"> </w:t>
      </w:r>
      <w:r w:rsidRPr="00D817A7">
        <w:rPr>
          <w:rFonts w:hint="eastAsia"/>
          <w:sz w:val="24"/>
          <w:szCs w:val="24"/>
        </w:rPr>
        <w:t>налогов</w:t>
      </w:r>
      <w:r w:rsidRPr="00D817A7">
        <w:rPr>
          <w:sz w:val="24"/>
          <w:szCs w:val="24"/>
        </w:rPr>
        <w:t xml:space="preserve"> </w:t>
      </w:r>
      <w:r w:rsidRPr="00D817A7">
        <w:rPr>
          <w:rFonts w:hint="eastAsia"/>
          <w:sz w:val="24"/>
          <w:szCs w:val="24"/>
        </w:rPr>
        <w:t>и</w:t>
      </w:r>
      <w:r w:rsidRPr="00D817A7">
        <w:rPr>
          <w:sz w:val="24"/>
          <w:szCs w:val="24"/>
        </w:rPr>
        <w:t xml:space="preserve"> </w:t>
      </w:r>
      <w:r w:rsidRPr="00D817A7">
        <w:rPr>
          <w:rFonts w:hint="eastAsia"/>
          <w:sz w:val="24"/>
          <w:szCs w:val="24"/>
        </w:rPr>
        <w:t>других</w:t>
      </w:r>
      <w:r w:rsidRPr="00D817A7">
        <w:rPr>
          <w:sz w:val="24"/>
          <w:szCs w:val="24"/>
        </w:rPr>
        <w:t xml:space="preserve"> </w:t>
      </w:r>
      <w:r w:rsidRPr="00D817A7">
        <w:rPr>
          <w:rFonts w:hint="eastAsia"/>
          <w:sz w:val="24"/>
          <w:szCs w:val="24"/>
        </w:rPr>
        <w:t>обязательных</w:t>
      </w:r>
      <w:r w:rsidRPr="00D817A7">
        <w:rPr>
          <w:sz w:val="24"/>
          <w:szCs w:val="24"/>
        </w:rPr>
        <w:t xml:space="preserve"> </w:t>
      </w:r>
      <w:r w:rsidRPr="00D817A7">
        <w:rPr>
          <w:rFonts w:hint="eastAsia"/>
          <w:sz w:val="24"/>
          <w:szCs w:val="24"/>
        </w:rPr>
        <w:t>платежей</w:t>
      </w:r>
      <w:r w:rsidRPr="00D817A7">
        <w:rPr>
          <w:sz w:val="24"/>
          <w:szCs w:val="24"/>
        </w:rPr>
        <w:t xml:space="preserve"> </w:t>
      </w:r>
      <w:r w:rsidRPr="00D817A7">
        <w:rPr>
          <w:rFonts w:hint="eastAsia"/>
          <w:sz w:val="24"/>
          <w:szCs w:val="24"/>
        </w:rPr>
        <w:t>из</w:t>
      </w:r>
    </w:p>
    <w:p w:rsidR="00153864" w:rsidRPr="00D817A7" w:rsidRDefault="00153864" w:rsidP="00D817A7">
      <w:pPr>
        <w:jc w:val="both"/>
        <w:rPr>
          <w:sz w:val="24"/>
          <w:szCs w:val="24"/>
        </w:rPr>
      </w:pP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выдаче</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выплате</w:t>
      </w:r>
      <w:r w:rsidRPr="00D817A7">
        <w:rPr>
          <w:sz w:val="24"/>
          <w:szCs w:val="24"/>
        </w:rPr>
        <w:t xml:space="preserve"> </w:t>
      </w:r>
      <w:r w:rsidRPr="00D817A7">
        <w:rPr>
          <w:rFonts w:hint="eastAsia"/>
          <w:sz w:val="24"/>
          <w:szCs w:val="24"/>
        </w:rPr>
        <w:t>денежной</w:t>
      </w:r>
      <w:r w:rsidRPr="00D817A7">
        <w:rPr>
          <w:sz w:val="24"/>
          <w:szCs w:val="24"/>
        </w:rPr>
        <w:t xml:space="preserve"> </w:t>
      </w:r>
      <w:r w:rsidRPr="00D817A7">
        <w:rPr>
          <w:rFonts w:hint="eastAsia"/>
          <w:sz w:val="24"/>
          <w:szCs w:val="24"/>
        </w:rPr>
        <w:t>компенсации</w:t>
      </w:r>
      <w:r w:rsidRPr="00D817A7">
        <w:rPr>
          <w:sz w:val="24"/>
          <w:szCs w:val="24"/>
        </w:rPr>
        <w:t xml:space="preserve"> </w:t>
      </w:r>
      <w:r w:rsidRPr="00D817A7">
        <w:rPr>
          <w:rFonts w:hint="eastAsia"/>
          <w:sz w:val="24"/>
          <w:szCs w:val="24"/>
        </w:rPr>
        <w:t>при</w:t>
      </w:r>
      <w:r w:rsidRPr="00D817A7">
        <w:rPr>
          <w:sz w:val="24"/>
          <w:szCs w:val="24"/>
        </w:rPr>
        <w:t xml:space="preserve"> </w:t>
      </w:r>
      <w:r w:rsidRPr="00D817A7">
        <w:rPr>
          <w:rFonts w:hint="eastAsia"/>
          <w:sz w:val="24"/>
          <w:szCs w:val="24"/>
        </w:rPr>
        <w:t>погашении</w:t>
      </w:r>
    </w:p>
    <w:p w:rsidR="00153864" w:rsidRPr="00D817A7" w:rsidRDefault="00153864" w:rsidP="00D817A7">
      <w:pPr>
        <w:jc w:val="both"/>
        <w:rPr>
          <w:sz w:val="24"/>
          <w:szCs w:val="24"/>
        </w:rPr>
      </w:pP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вознаграждениям</w:t>
      </w:r>
      <w:r w:rsidRPr="00D817A7">
        <w:rPr>
          <w:sz w:val="24"/>
          <w:szCs w:val="24"/>
        </w:rPr>
        <w:t xml:space="preserve"> </w:t>
      </w:r>
      <w:r w:rsidRPr="00D817A7">
        <w:rPr>
          <w:rFonts w:hint="eastAsia"/>
          <w:sz w:val="24"/>
          <w:szCs w:val="24"/>
        </w:rPr>
        <w:t>Управляющей</w:t>
      </w:r>
      <w:r w:rsidRPr="00D817A7">
        <w:rPr>
          <w:sz w:val="24"/>
          <w:szCs w:val="24"/>
        </w:rPr>
        <w:t xml:space="preserve"> </w:t>
      </w:r>
      <w:r w:rsidRPr="00D817A7">
        <w:rPr>
          <w:rFonts w:hint="eastAsia"/>
          <w:sz w:val="24"/>
          <w:szCs w:val="24"/>
        </w:rPr>
        <w:t>компании</w:t>
      </w:r>
      <w:r w:rsidRPr="00D817A7">
        <w:rPr>
          <w:sz w:val="24"/>
          <w:szCs w:val="24"/>
        </w:rPr>
        <w:t>,</w:t>
      </w:r>
    </w:p>
    <w:p w:rsidR="00153864" w:rsidRPr="00D817A7" w:rsidRDefault="00153864" w:rsidP="00D817A7">
      <w:pPr>
        <w:jc w:val="both"/>
        <w:rPr>
          <w:sz w:val="24"/>
          <w:szCs w:val="24"/>
        </w:rPr>
      </w:pPr>
      <w:r w:rsidRPr="00D817A7">
        <w:rPr>
          <w:rFonts w:hint="eastAsia"/>
          <w:sz w:val="24"/>
          <w:szCs w:val="24"/>
        </w:rPr>
        <w:t>Специализированному</w:t>
      </w:r>
      <w:r w:rsidRPr="00D817A7">
        <w:rPr>
          <w:sz w:val="24"/>
          <w:szCs w:val="24"/>
        </w:rPr>
        <w:t xml:space="preserve"> </w:t>
      </w:r>
      <w:r w:rsidRPr="00D817A7">
        <w:rPr>
          <w:rFonts w:hint="eastAsia"/>
          <w:sz w:val="24"/>
          <w:szCs w:val="24"/>
        </w:rPr>
        <w:t>депозитарию</w:t>
      </w:r>
      <w:r w:rsidRPr="00D817A7">
        <w:rPr>
          <w:sz w:val="24"/>
          <w:szCs w:val="24"/>
        </w:rPr>
        <w:t xml:space="preserve">, </w:t>
      </w:r>
      <w:r w:rsidRPr="00D817A7">
        <w:rPr>
          <w:rFonts w:hint="eastAsia"/>
          <w:sz w:val="24"/>
          <w:szCs w:val="24"/>
        </w:rPr>
        <w:t>аудиторской</w:t>
      </w:r>
      <w:r w:rsidRPr="00D817A7">
        <w:rPr>
          <w:sz w:val="24"/>
          <w:szCs w:val="24"/>
        </w:rPr>
        <w:t xml:space="preserve"> </w:t>
      </w:r>
      <w:r w:rsidRPr="00D817A7">
        <w:rPr>
          <w:rFonts w:hint="eastAsia"/>
          <w:sz w:val="24"/>
          <w:szCs w:val="24"/>
        </w:rPr>
        <w:t>организации</w:t>
      </w:r>
      <w:r w:rsidRPr="00D817A7">
        <w:rPr>
          <w:sz w:val="24"/>
          <w:szCs w:val="24"/>
        </w:rPr>
        <w:t xml:space="preserve">, </w:t>
      </w:r>
      <w:r w:rsidRPr="00D817A7">
        <w:rPr>
          <w:rFonts w:hint="eastAsia"/>
          <w:sz w:val="24"/>
          <w:szCs w:val="24"/>
        </w:rPr>
        <w:t>оценщику</w:t>
      </w:r>
      <w:r w:rsidRPr="00D817A7">
        <w:rPr>
          <w:sz w:val="24"/>
          <w:szCs w:val="24"/>
        </w:rPr>
        <w:t xml:space="preserve">, </w:t>
      </w:r>
      <w:r w:rsidRPr="00D817A7">
        <w:rPr>
          <w:rFonts w:hint="eastAsia"/>
          <w:sz w:val="24"/>
          <w:szCs w:val="24"/>
        </w:rPr>
        <w:t>лицу</w:t>
      </w:r>
      <w:r w:rsidRPr="00D817A7">
        <w:rPr>
          <w:sz w:val="24"/>
          <w:szCs w:val="24"/>
        </w:rPr>
        <w:t xml:space="preserve">, </w:t>
      </w:r>
      <w:r w:rsidRPr="00D817A7">
        <w:rPr>
          <w:rFonts w:hint="eastAsia"/>
          <w:sz w:val="24"/>
          <w:szCs w:val="24"/>
        </w:rPr>
        <w:t>осуществляющему</w:t>
      </w:r>
      <w:r>
        <w:rPr>
          <w:sz w:val="24"/>
          <w:szCs w:val="24"/>
        </w:rPr>
        <w:t xml:space="preserve"> </w:t>
      </w:r>
      <w:r w:rsidRPr="00D817A7">
        <w:rPr>
          <w:rFonts w:hint="eastAsia"/>
          <w:sz w:val="24"/>
          <w:szCs w:val="24"/>
        </w:rPr>
        <w:t>ведение</w:t>
      </w:r>
      <w:r w:rsidRPr="00D817A7">
        <w:rPr>
          <w:sz w:val="24"/>
          <w:szCs w:val="24"/>
        </w:rPr>
        <w:t xml:space="preserve"> </w:t>
      </w:r>
      <w:r w:rsidRPr="00D817A7">
        <w:rPr>
          <w:rFonts w:hint="eastAsia"/>
          <w:sz w:val="24"/>
          <w:szCs w:val="24"/>
        </w:rPr>
        <w:t>реестра</w:t>
      </w:r>
      <w:r w:rsidRPr="00D817A7">
        <w:rPr>
          <w:sz w:val="24"/>
          <w:szCs w:val="24"/>
        </w:rPr>
        <w:t xml:space="preserve"> </w:t>
      </w:r>
      <w:r w:rsidRPr="00D817A7">
        <w:rPr>
          <w:rFonts w:hint="eastAsia"/>
          <w:sz w:val="24"/>
          <w:szCs w:val="24"/>
        </w:rPr>
        <w:t>владельцев</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а</w:t>
      </w:r>
      <w:r w:rsidRPr="00D817A7">
        <w:rPr>
          <w:sz w:val="24"/>
          <w:szCs w:val="24"/>
        </w:rPr>
        <w:t xml:space="preserve"> </w:t>
      </w:r>
      <w:r w:rsidRPr="00D817A7">
        <w:rPr>
          <w:rFonts w:hint="eastAsia"/>
          <w:sz w:val="24"/>
          <w:szCs w:val="24"/>
        </w:rPr>
        <w:t>также</w:t>
      </w:r>
      <w:r w:rsidRPr="00D817A7">
        <w:rPr>
          <w:sz w:val="24"/>
          <w:szCs w:val="24"/>
        </w:rPr>
        <w:t xml:space="preserve"> </w:t>
      </w:r>
      <w:r w:rsidRPr="00D817A7">
        <w:rPr>
          <w:rFonts w:hint="eastAsia"/>
          <w:sz w:val="24"/>
          <w:szCs w:val="24"/>
        </w:rPr>
        <w:t>обязательствам</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прочих</w:t>
      </w:r>
      <w:r>
        <w:rPr>
          <w:sz w:val="24"/>
          <w:szCs w:val="24"/>
        </w:rPr>
        <w:t xml:space="preserve"> </w:t>
      </w:r>
      <w:r w:rsidRPr="00D817A7">
        <w:rPr>
          <w:rFonts w:hint="eastAsia"/>
          <w:sz w:val="24"/>
          <w:szCs w:val="24"/>
        </w:rPr>
        <w:t>расходов</w:t>
      </w:r>
      <w:r w:rsidRPr="00D817A7">
        <w:rPr>
          <w:sz w:val="24"/>
          <w:szCs w:val="24"/>
        </w:rPr>
        <w:t xml:space="preserve">, </w:t>
      </w:r>
      <w:r w:rsidRPr="00D817A7">
        <w:rPr>
          <w:rFonts w:hint="eastAsia"/>
          <w:sz w:val="24"/>
          <w:szCs w:val="24"/>
        </w:rPr>
        <w:t>осуществляемых</w:t>
      </w:r>
      <w:r w:rsidRPr="00D817A7">
        <w:rPr>
          <w:sz w:val="24"/>
          <w:szCs w:val="24"/>
        </w:rPr>
        <w:t xml:space="preserve"> </w:t>
      </w:r>
      <w:r w:rsidRPr="00D817A7">
        <w:rPr>
          <w:rFonts w:hint="eastAsia"/>
          <w:sz w:val="24"/>
          <w:szCs w:val="24"/>
        </w:rPr>
        <w:t>за</w:t>
      </w:r>
      <w:r w:rsidRPr="00D817A7">
        <w:rPr>
          <w:sz w:val="24"/>
          <w:szCs w:val="24"/>
        </w:rPr>
        <w:t xml:space="preserve"> </w:t>
      </w:r>
      <w:r w:rsidRPr="00D817A7">
        <w:rPr>
          <w:rFonts w:hint="eastAsia"/>
          <w:sz w:val="24"/>
          <w:szCs w:val="24"/>
        </w:rPr>
        <w:t>счет</w:t>
      </w:r>
      <w:r w:rsidRPr="00D817A7">
        <w:rPr>
          <w:sz w:val="24"/>
          <w:szCs w:val="24"/>
        </w:rPr>
        <w:t xml:space="preserve"> </w:t>
      </w: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соответствии</w:t>
      </w:r>
      <w:r w:rsidRPr="00D817A7">
        <w:rPr>
          <w:sz w:val="24"/>
          <w:szCs w:val="24"/>
        </w:rPr>
        <w:t xml:space="preserve"> </w:t>
      </w:r>
      <w:r w:rsidRPr="00D817A7">
        <w:rPr>
          <w:rFonts w:hint="eastAsia"/>
          <w:sz w:val="24"/>
          <w:szCs w:val="24"/>
        </w:rPr>
        <w:t>с</w:t>
      </w:r>
      <w:r w:rsidRPr="00D817A7">
        <w:rPr>
          <w:sz w:val="24"/>
          <w:szCs w:val="24"/>
        </w:rPr>
        <w:t xml:space="preserve"> </w:t>
      </w:r>
      <w:r w:rsidRPr="00D817A7">
        <w:rPr>
          <w:rFonts w:hint="eastAsia"/>
          <w:sz w:val="24"/>
          <w:szCs w:val="24"/>
        </w:rPr>
        <w:t>требованиями</w:t>
      </w:r>
      <w:r w:rsidRPr="00D817A7">
        <w:rPr>
          <w:sz w:val="24"/>
          <w:szCs w:val="24"/>
        </w:rPr>
        <w:t xml:space="preserve"> </w:t>
      </w:r>
      <w:r w:rsidRPr="00D817A7">
        <w:rPr>
          <w:rFonts w:hint="eastAsia"/>
          <w:sz w:val="24"/>
          <w:szCs w:val="24"/>
        </w:rPr>
        <w:t>действующего</w:t>
      </w:r>
      <w:r>
        <w:rPr>
          <w:sz w:val="24"/>
          <w:szCs w:val="24"/>
        </w:rPr>
        <w:t xml:space="preserve"> </w:t>
      </w:r>
      <w:r w:rsidRPr="00D817A7">
        <w:rPr>
          <w:rFonts w:hint="eastAsia"/>
          <w:sz w:val="24"/>
          <w:szCs w:val="24"/>
        </w:rPr>
        <w:t>законодательства</w:t>
      </w:r>
      <w:r w:rsidRPr="00D817A7">
        <w:rPr>
          <w:sz w:val="24"/>
          <w:szCs w:val="24"/>
        </w:rPr>
        <w:t xml:space="preserve"> и заключенным договорам;</w:t>
      </w:r>
    </w:p>
    <w:p w:rsidR="00153864" w:rsidRPr="00D817A7" w:rsidRDefault="00153864" w:rsidP="00D817A7">
      <w:pPr>
        <w:jc w:val="both"/>
        <w:rPr>
          <w:sz w:val="24"/>
          <w:szCs w:val="24"/>
        </w:rPr>
      </w:pPr>
    </w:p>
    <w:p w:rsidR="00153864" w:rsidRPr="00D817A7" w:rsidRDefault="00153864" w:rsidP="00D817A7">
      <w:pPr>
        <w:jc w:val="both"/>
        <w:rPr>
          <w:sz w:val="24"/>
          <w:szCs w:val="24"/>
        </w:rPr>
      </w:pPr>
      <w:r>
        <w:rPr>
          <w:sz w:val="24"/>
          <w:szCs w:val="24"/>
        </w:rPr>
        <w:t xml:space="preserve">   </w:t>
      </w:r>
      <w:r w:rsidRPr="00D817A7">
        <w:rPr>
          <w:rFonts w:hint="eastAsia"/>
          <w:sz w:val="24"/>
          <w:szCs w:val="24"/>
        </w:rPr>
        <w:t>Иная</w:t>
      </w: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предусмотренная</w:t>
      </w:r>
      <w:r w:rsidRPr="00D817A7">
        <w:rPr>
          <w:sz w:val="24"/>
          <w:szCs w:val="24"/>
        </w:rPr>
        <w:t xml:space="preserve"> </w:t>
      </w:r>
      <w:r w:rsidRPr="00D817A7">
        <w:rPr>
          <w:rFonts w:hint="eastAsia"/>
          <w:sz w:val="24"/>
          <w:szCs w:val="24"/>
        </w:rPr>
        <w:t>настоя</w:t>
      </w:r>
      <w:r w:rsidRPr="00D817A7">
        <w:rPr>
          <w:sz w:val="24"/>
          <w:szCs w:val="24"/>
        </w:rPr>
        <w:t xml:space="preserve">щим </w:t>
      </w:r>
      <w:r w:rsidRPr="00D817A7">
        <w:rPr>
          <w:rFonts w:hint="eastAsia"/>
          <w:sz w:val="24"/>
          <w:szCs w:val="24"/>
        </w:rPr>
        <w:t>пункт</w:t>
      </w:r>
      <w:r w:rsidRPr="00D817A7">
        <w:rPr>
          <w:sz w:val="24"/>
          <w:szCs w:val="24"/>
        </w:rPr>
        <w:t xml:space="preserve">ом,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sidRPr="00D817A7">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превышал</w:t>
      </w:r>
      <w:r w:rsidRPr="00D817A7">
        <w:rPr>
          <w:sz w:val="24"/>
          <w:szCs w:val="24"/>
        </w:rPr>
        <w:t xml:space="preserve"> 180 дней , </w:t>
      </w:r>
      <w:r w:rsidRPr="00D817A7">
        <w:rPr>
          <w:rFonts w:hint="eastAsia"/>
          <w:sz w:val="24"/>
          <w:szCs w:val="24"/>
        </w:rPr>
        <w:t>оценивается</w:t>
      </w:r>
      <w:r w:rsidRPr="00D817A7">
        <w:rPr>
          <w:sz w:val="24"/>
          <w:szCs w:val="24"/>
        </w:rPr>
        <w:t xml:space="preserve"> </w:t>
      </w:r>
      <w:r w:rsidRPr="00D817A7">
        <w:rPr>
          <w:rFonts w:hint="eastAsia"/>
          <w:sz w:val="24"/>
          <w:szCs w:val="24"/>
        </w:rPr>
        <w:t>в</w:t>
      </w:r>
      <w:r w:rsidRPr="00D817A7">
        <w:rPr>
          <w:sz w:val="24"/>
          <w:szCs w:val="24"/>
        </w:rPr>
        <w:t xml:space="preserve"> фактической </w:t>
      </w:r>
      <w:r w:rsidRPr="00D817A7">
        <w:rPr>
          <w:rFonts w:hint="eastAsia"/>
          <w:sz w:val="24"/>
          <w:szCs w:val="24"/>
        </w:rPr>
        <w:t>сумме</w:t>
      </w:r>
      <w:r w:rsidRPr="00D817A7">
        <w:rPr>
          <w:sz w:val="24"/>
          <w:szCs w:val="24"/>
        </w:rPr>
        <w:t xml:space="preserve"> </w:t>
      </w:r>
      <w:r w:rsidRPr="00D817A7">
        <w:rPr>
          <w:rFonts w:hint="eastAsia"/>
          <w:sz w:val="24"/>
          <w:szCs w:val="24"/>
        </w:rPr>
        <w:t>обязательства</w:t>
      </w:r>
      <w:r w:rsidRPr="00D817A7">
        <w:rPr>
          <w:sz w:val="24"/>
          <w:szCs w:val="24"/>
        </w:rPr>
        <w:t xml:space="preserve">, </w:t>
      </w:r>
      <w:r w:rsidRPr="00D817A7">
        <w:rPr>
          <w:rFonts w:hint="eastAsia"/>
          <w:sz w:val="24"/>
          <w:szCs w:val="24"/>
        </w:rPr>
        <w:t>подлежащего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Фондом</w:t>
      </w:r>
      <w:r w:rsidRPr="00D817A7">
        <w:rPr>
          <w:sz w:val="24"/>
          <w:szCs w:val="24"/>
        </w:rPr>
        <w:t>.</w:t>
      </w:r>
    </w:p>
    <w:p w:rsidR="000E00C0" w:rsidRDefault="00153864" w:rsidP="00D817A7">
      <w:pPr>
        <w:jc w:val="both"/>
        <w:rPr>
          <w:sz w:val="24"/>
          <w:szCs w:val="24"/>
        </w:rPr>
      </w:pPr>
      <w:r>
        <w:rPr>
          <w:sz w:val="24"/>
          <w:szCs w:val="24"/>
        </w:rPr>
        <w:t xml:space="preserve">      </w:t>
      </w:r>
      <w:r w:rsidRPr="00D817A7">
        <w:rPr>
          <w:sz w:val="24"/>
          <w:szCs w:val="24"/>
        </w:rPr>
        <w:t>Иная  к</w:t>
      </w:r>
      <w:r w:rsidRPr="00D817A7">
        <w:rPr>
          <w:rFonts w:hint="eastAsia"/>
          <w:sz w:val="24"/>
          <w:szCs w:val="24"/>
        </w:rPr>
        <w:t>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более</w:t>
      </w:r>
      <w:r w:rsidRPr="00D817A7">
        <w:rPr>
          <w:sz w:val="24"/>
          <w:szCs w:val="24"/>
        </w:rPr>
        <w:t xml:space="preserve"> 180, </w:t>
      </w:r>
      <w:r w:rsidRPr="00D817A7">
        <w:rPr>
          <w:rFonts w:hint="eastAsia"/>
          <w:sz w:val="24"/>
          <w:szCs w:val="24"/>
        </w:rPr>
        <w:t>но</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более</w:t>
      </w:r>
      <w:r w:rsidRPr="00D817A7">
        <w:rPr>
          <w:sz w:val="24"/>
          <w:szCs w:val="24"/>
        </w:rPr>
        <w:t xml:space="preserve"> 366 </w:t>
      </w:r>
      <w:r w:rsidRPr="00D817A7">
        <w:rPr>
          <w:rFonts w:hint="eastAsia"/>
          <w:sz w:val="24"/>
          <w:szCs w:val="24"/>
        </w:rPr>
        <w:t>дней</w:t>
      </w:r>
      <w:r w:rsidR="006749DA">
        <w:rPr>
          <w:sz w:val="24"/>
          <w:szCs w:val="24"/>
        </w:rPr>
        <w:t>.</w:t>
      </w:r>
    </w:p>
    <w:p w:rsidR="00EC01E4" w:rsidRPr="00A71E53" w:rsidRDefault="00EC01E4" w:rsidP="00D817A7">
      <w:pPr>
        <w:jc w:val="both"/>
        <w:rPr>
          <w:sz w:val="24"/>
          <w:szCs w:val="24"/>
        </w:rPr>
      </w:pPr>
      <w:r>
        <w:rPr>
          <w:sz w:val="24"/>
          <w:szCs w:val="24"/>
        </w:rPr>
        <w:t xml:space="preserve">     </w:t>
      </w:r>
      <w:r w:rsidR="00153864" w:rsidRPr="00D817A7">
        <w:rPr>
          <w:sz w:val="24"/>
          <w:szCs w:val="24"/>
        </w:rPr>
        <w:t xml:space="preserve">    </w:t>
      </w:r>
      <w:r w:rsidR="00153864" w:rsidRPr="00D817A7">
        <w:rPr>
          <w:rFonts w:hint="eastAsia"/>
          <w:sz w:val="24"/>
          <w:szCs w:val="24"/>
        </w:rPr>
        <w:t>Иная</w:t>
      </w:r>
      <w:r w:rsidR="00153864" w:rsidRPr="00D817A7">
        <w:rPr>
          <w:sz w:val="24"/>
          <w:szCs w:val="24"/>
        </w:rPr>
        <w:t xml:space="preserve"> </w:t>
      </w:r>
      <w:r w:rsidR="00153864" w:rsidRPr="00D817A7">
        <w:rPr>
          <w:rFonts w:hint="eastAsia"/>
          <w:sz w:val="24"/>
          <w:szCs w:val="24"/>
        </w:rPr>
        <w:t>кредиторская</w:t>
      </w:r>
      <w:r w:rsidR="00153864" w:rsidRPr="00D817A7">
        <w:rPr>
          <w:sz w:val="24"/>
          <w:szCs w:val="24"/>
        </w:rPr>
        <w:t xml:space="preserve"> </w:t>
      </w:r>
      <w:r w:rsidR="00153864" w:rsidRPr="00D817A7">
        <w:rPr>
          <w:rFonts w:hint="eastAsia"/>
          <w:sz w:val="24"/>
          <w:szCs w:val="24"/>
        </w:rPr>
        <w:t>задолженность</w:t>
      </w:r>
      <w:r w:rsidR="00153864" w:rsidRPr="00D817A7">
        <w:rPr>
          <w:sz w:val="24"/>
          <w:szCs w:val="24"/>
        </w:rPr>
        <w:t xml:space="preserve">, </w:t>
      </w:r>
      <w:r w:rsidR="00153864" w:rsidRPr="00D817A7">
        <w:rPr>
          <w:rFonts w:hint="eastAsia"/>
          <w:sz w:val="24"/>
          <w:szCs w:val="24"/>
        </w:rPr>
        <w:t>подлежащая</w:t>
      </w:r>
      <w:r w:rsidR="00153864" w:rsidRPr="00D817A7">
        <w:rPr>
          <w:sz w:val="24"/>
          <w:szCs w:val="24"/>
        </w:rPr>
        <w:t xml:space="preserve"> </w:t>
      </w:r>
      <w:r w:rsidR="00153864" w:rsidRPr="00D817A7">
        <w:rPr>
          <w:rFonts w:hint="eastAsia"/>
          <w:sz w:val="24"/>
          <w:szCs w:val="24"/>
        </w:rPr>
        <w:t>погашению</w:t>
      </w:r>
      <w:r w:rsidR="00153864" w:rsidRPr="00D817A7">
        <w:rPr>
          <w:sz w:val="24"/>
          <w:szCs w:val="24"/>
        </w:rPr>
        <w:t xml:space="preserve"> </w:t>
      </w:r>
      <w:r w:rsidR="00153864" w:rsidRPr="00D817A7">
        <w:rPr>
          <w:rFonts w:hint="eastAsia"/>
          <w:sz w:val="24"/>
          <w:szCs w:val="24"/>
        </w:rPr>
        <w:t>денежными</w:t>
      </w:r>
      <w:r w:rsidR="00153864" w:rsidRPr="00D817A7">
        <w:rPr>
          <w:sz w:val="24"/>
          <w:szCs w:val="24"/>
        </w:rPr>
        <w:t xml:space="preserve"> </w:t>
      </w:r>
      <w:r w:rsidR="00153864" w:rsidRPr="00D817A7">
        <w:rPr>
          <w:rFonts w:hint="eastAsia"/>
          <w:sz w:val="24"/>
          <w:szCs w:val="24"/>
        </w:rPr>
        <w:t>средствами</w:t>
      </w:r>
      <w:r w:rsidR="00153864" w:rsidRPr="00D817A7">
        <w:rPr>
          <w:sz w:val="24"/>
          <w:szCs w:val="24"/>
        </w:rPr>
        <w:t>,</w:t>
      </w:r>
      <w:r w:rsidR="006749DA">
        <w:rPr>
          <w:sz w:val="24"/>
          <w:szCs w:val="24"/>
        </w:rPr>
        <w:t xml:space="preserve"> </w:t>
      </w:r>
      <w:r>
        <w:rPr>
          <w:sz w:val="24"/>
          <w:szCs w:val="24"/>
        </w:rPr>
        <w:t xml:space="preserve">оценивается  по  </w:t>
      </w:r>
      <w:r w:rsidR="00153864" w:rsidRPr="00D817A7">
        <w:rPr>
          <w:sz w:val="24"/>
          <w:szCs w:val="24"/>
        </w:rPr>
        <w:t xml:space="preserve"> </w:t>
      </w:r>
      <w:r w:rsidRPr="00A71E53">
        <w:rPr>
          <w:sz w:val="24"/>
          <w:szCs w:val="24"/>
        </w:rPr>
        <w:t>методу приведенной стоимости будущих денежных потоков с использованием ставки дисконтирования</w:t>
      </w:r>
      <w:r w:rsidR="000E058F" w:rsidRPr="00A71E53">
        <w:rPr>
          <w:sz w:val="24"/>
          <w:szCs w:val="24"/>
        </w:rPr>
        <w:t xml:space="preserve"> ЭСП.</w:t>
      </w:r>
    </w:p>
    <w:p w:rsidR="009015E5" w:rsidRDefault="009015E5" w:rsidP="00D817A7">
      <w:pPr>
        <w:jc w:val="both"/>
        <w:rPr>
          <w:rFonts w:eastAsia="Calibri"/>
          <w:sz w:val="24"/>
          <w:szCs w:val="24"/>
          <w:lang w:eastAsia="en-US"/>
        </w:rPr>
      </w:pPr>
    </w:p>
    <w:p w:rsidR="00EC149B" w:rsidRPr="00D817A7" w:rsidRDefault="00EC149B" w:rsidP="00EC149B">
      <w:pPr>
        <w:pStyle w:val="11"/>
        <w:tabs>
          <w:tab w:val="left" w:pos="993"/>
        </w:tabs>
        <w:spacing w:line="360" w:lineRule="auto"/>
        <w:ind w:left="0"/>
        <w:jc w:val="both"/>
        <w:rPr>
          <w:b/>
          <w:szCs w:val="24"/>
        </w:rPr>
      </w:pPr>
      <w:r w:rsidRPr="00D817A7">
        <w:rPr>
          <w:b/>
          <w:szCs w:val="24"/>
        </w:rPr>
        <w:t xml:space="preserve">Определение ставки ЭСП  для  дебиторской и кредиторской задолженности </w:t>
      </w:r>
    </w:p>
    <w:p w:rsidR="00EC149B" w:rsidRPr="00971600" w:rsidRDefault="006E51D8" w:rsidP="00EC149B">
      <w:pPr>
        <w:pStyle w:val="11"/>
        <w:tabs>
          <w:tab w:val="left" w:pos="993"/>
        </w:tabs>
        <w:spacing w:line="360" w:lineRule="auto"/>
        <w:ind w:left="0"/>
        <w:jc w:val="both"/>
        <w:rPr>
          <w:szCs w:val="24"/>
        </w:rPr>
      </w:pPr>
      <w:r>
        <w:rPr>
          <w:szCs w:val="24"/>
        </w:rPr>
        <w:t xml:space="preserve">Ставка ЭСП </w:t>
      </w:r>
      <w:r w:rsidR="00EC149B">
        <w:rPr>
          <w:szCs w:val="24"/>
        </w:rPr>
        <w:t>о</w:t>
      </w:r>
      <w:r>
        <w:rPr>
          <w:szCs w:val="24"/>
        </w:rPr>
        <w:t>п</w:t>
      </w:r>
      <w:r w:rsidR="00EC149B">
        <w:rPr>
          <w:szCs w:val="24"/>
        </w:rPr>
        <w:t>ределяется:</w:t>
      </w:r>
    </w:p>
    <w:p w:rsidR="00EC149B" w:rsidRDefault="001C18A6"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jc w:val="both"/>
        <w:rPr>
          <w:sz w:val="24"/>
          <w:szCs w:val="24"/>
        </w:rPr>
      </w:pPr>
      <m:oMath>
        <m:r>
          <m:rPr>
            <m:sty m:val="p"/>
          </m:rPr>
          <w:rPr>
            <w:rFonts w:ascii="Cambria Math" w:hAnsi="Cambria Math"/>
            <w:sz w:val="24"/>
            <w:szCs w:val="24"/>
          </w:rPr>
          <m:t>ЭСП</m:t>
        </m:r>
      </m:oMath>
      <w:r w:rsidRPr="006749DA">
        <w:rPr>
          <w:sz w:val="24"/>
          <w:szCs w:val="24"/>
        </w:rPr>
        <w:t xml:space="preserve"> – эффективная ставка процента (производится округление до </w:t>
      </w:r>
      <w:r w:rsidR="00B33A07" w:rsidRPr="006749DA">
        <w:rPr>
          <w:sz w:val="24"/>
          <w:szCs w:val="24"/>
        </w:rPr>
        <w:t>6</w:t>
      </w:r>
      <w:r w:rsidRPr="006749DA">
        <w:rPr>
          <w:sz w:val="24"/>
          <w:szCs w:val="24"/>
        </w:rPr>
        <w:t xml:space="preserve"> знаков после запятой), </w:t>
      </w:r>
    </w:p>
    <w:p w:rsidR="00EC149B" w:rsidRPr="006749DA" w:rsidRDefault="00EC149B" w:rsidP="006749DA">
      <w:pPr>
        <w:jc w:val="both"/>
        <w:rPr>
          <w:sz w:val="24"/>
          <w:szCs w:val="24"/>
        </w:rPr>
      </w:pPr>
      <m:oMath>
        <m:r>
          <m:rPr>
            <m:sty m:val="p"/>
          </m:rPr>
          <w:rPr>
            <w:rFonts w:ascii="Cambria Math" w:hAnsi="Cambria Math"/>
            <w:sz w:val="24"/>
            <w:szCs w:val="24"/>
          </w:rPr>
          <m:t>N</m:t>
        </m:r>
      </m:oMath>
      <w:r w:rsidRPr="006749DA">
        <w:rPr>
          <w:sz w:val="24"/>
          <w:szCs w:val="24"/>
        </w:rPr>
        <w:t xml:space="preserve"> – количество оставшихся на дату оценки денежных потоков по договору,</w:t>
      </w:r>
    </w:p>
    <w:p w:rsidR="00EC149B" w:rsidRPr="006749DA" w:rsidRDefault="001C18A6"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CF</m:t>
            </m:r>
          </m:e>
          <m:sub>
            <m:r>
              <m:rPr>
                <m:sty m:val="p"/>
              </m:rPr>
              <w:rPr>
                <w:rFonts w:ascii="Cambria Math" w:hAnsi="Cambria Math"/>
                <w:sz w:val="24"/>
                <w:szCs w:val="24"/>
              </w:rPr>
              <m:t>i</m:t>
            </m:r>
          </m:sub>
        </m:sSub>
      </m:oMath>
      <w:r w:rsidR="00EC149B" w:rsidRPr="006749DA">
        <w:rPr>
          <w:sz w:val="24"/>
          <w:szCs w:val="24"/>
        </w:rPr>
        <w:t xml:space="preserve"> – величина i-го денежного потока,</w:t>
      </w:r>
    </w:p>
    <w:p w:rsidR="00EC149B" w:rsidRPr="006749DA" w:rsidRDefault="001C18A6"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EC149B" w:rsidRPr="006749DA">
        <w:rPr>
          <w:sz w:val="24"/>
          <w:szCs w:val="24"/>
        </w:rPr>
        <w:t xml:space="preserve"> – дата i-го платежа,</w:t>
      </w:r>
    </w:p>
    <w:p w:rsidR="00EC149B" w:rsidRPr="006749DA" w:rsidRDefault="001C18A6"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EC149B" w:rsidRPr="006749DA">
        <w:rPr>
          <w:sz w:val="24"/>
          <w:szCs w:val="24"/>
        </w:rPr>
        <w:t xml:space="preserve"> – дата оценки.</w:t>
      </w:r>
    </w:p>
    <w:p w:rsidR="00EC149B" w:rsidRPr="006749DA" w:rsidRDefault="00EC149B" w:rsidP="00D817A7">
      <w:pPr>
        <w:jc w:val="both"/>
        <w:rPr>
          <w:sz w:val="24"/>
          <w:szCs w:val="24"/>
        </w:rPr>
      </w:pPr>
    </w:p>
    <w:p w:rsidR="000E058F" w:rsidRDefault="000E058F" w:rsidP="006749DA">
      <w:pPr>
        <w:jc w:val="both"/>
        <w:rPr>
          <w:sz w:val="24"/>
          <w:szCs w:val="24"/>
        </w:rPr>
      </w:pPr>
      <w:r w:rsidRPr="006749DA">
        <w:rPr>
          <w:sz w:val="24"/>
          <w:szCs w:val="24"/>
        </w:rPr>
        <w:t>ЭСП по дебиторской и кредиторской задолженности на дату ее определения подлежит проверке на соответствие рыночным условиям.</w:t>
      </w:r>
    </w:p>
    <w:p w:rsidR="000E058F" w:rsidRDefault="000E058F" w:rsidP="006749DA">
      <w:pPr>
        <w:jc w:val="both"/>
        <w:rPr>
          <w:sz w:val="24"/>
          <w:szCs w:val="24"/>
        </w:rPr>
      </w:pPr>
      <w:r w:rsidRPr="006749DA">
        <w:rPr>
          <w:sz w:val="24"/>
          <w:szCs w:val="24"/>
        </w:rPr>
        <w:t>ЭСП</w:t>
      </w:r>
      <w:r>
        <w:rPr>
          <w:sz w:val="24"/>
          <w:szCs w:val="24"/>
        </w:rPr>
        <w:t xml:space="preserve"> признается рыночной, если выполнено условие:</w:t>
      </w:r>
    </w:p>
    <w:p w:rsidR="000E058F" w:rsidRDefault="001C18A6"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4971C9" w:rsidRPr="005E2216" w:rsidRDefault="004971C9" w:rsidP="004971C9">
      <w:pPr>
        <w:pStyle w:val="a3"/>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jc w:val="center"/>
        <w:rPr>
          <w:rFonts w:ascii="Franklin Gothic Book" w:hAnsi="Franklin Gothic Book"/>
          <w:sz w:val="24"/>
          <w:szCs w:val="24"/>
        </w:rPr>
      </w:pPr>
      <w:r>
        <w:rPr>
          <w:rFonts w:ascii="Franklin Gothic Book" w:hAnsi="Franklin Gothic Book"/>
          <w:sz w:val="24"/>
          <w:szCs w:val="24"/>
        </w:rPr>
        <w:t>,</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8" w:history="1">
        <w:r>
          <w:rPr>
            <w:rStyle w:val="a5"/>
          </w:rPr>
          <w:t>http://www.cbr.ru/statistics/?PrtId=int_rat</w:t>
        </w:r>
      </w:hyperlink>
      <w:r>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1C18A6"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9" w:history="1">
        <w:r w:rsidR="000E058F">
          <w:rPr>
            <w:rStyle w:val="a5"/>
          </w:rPr>
          <w:t>http://www.cbr.ru/statistics/?PrtId=int_rat</w:t>
        </w:r>
      </w:hyperlink>
      <w:r w:rsidR="000E058F">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0E058F" w:rsidP="000E058F">
      <w:pPr>
        <w:ind w:firstLine="426"/>
        <w:rPr>
          <w:sz w:val="24"/>
          <w:szCs w:val="24"/>
        </w:rPr>
      </w:pPr>
    </w:p>
    <w:p w:rsidR="000E058F" w:rsidRDefault="001C18A6"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000E058F">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 w:val="24"/>
          <w:szCs w:val="24"/>
        </w:rPr>
        <w:t>:</w:t>
      </w:r>
    </w:p>
    <w:p w:rsidR="000E058F" w:rsidRDefault="001C18A6" w:rsidP="000E058F">
      <w:pPr>
        <w:spacing w:before="120"/>
        <w:ind w:firstLine="426"/>
        <w:jc w:val="center"/>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0E058F">
        <w:rPr>
          <w:sz w:val="24"/>
          <w:szCs w:val="24"/>
        </w:rPr>
        <w:t>,</w:t>
      </w:r>
    </w:p>
    <w:p w:rsidR="000E058F" w:rsidRDefault="000E058F" w:rsidP="000E058F">
      <w:pPr>
        <w:ind w:firstLine="426"/>
        <w:rPr>
          <w:sz w:val="24"/>
          <w:szCs w:val="24"/>
        </w:rPr>
      </w:pPr>
      <w:r>
        <w:rPr>
          <w:sz w:val="24"/>
          <w:szCs w:val="24"/>
        </w:rPr>
        <w:t>где:</w:t>
      </w:r>
    </w:p>
    <w:p w:rsidR="000E058F" w:rsidRDefault="001C18A6"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oMath>
      <w:r w:rsidR="000E058F">
        <w:rPr>
          <w:sz w:val="24"/>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1C18A6"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0E058F">
        <w:rPr>
          <w:sz w:val="24"/>
          <w:szCs w:val="24"/>
        </w:rPr>
        <w:t xml:space="preserve"> – ключевая ставка ЦБ РФ, установленная на дату определения ЭСП,</w:t>
      </w:r>
    </w:p>
    <w:p w:rsidR="000E058F" w:rsidRDefault="001C18A6"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ср.</m:t>
            </m:r>
          </m:sub>
        </m:sSub>
      </m:oMath>
      <w:r w:rsidR="000E058F">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ср.рын.</m:t>
            </m:r>
          </m:sub>
        </m:sSub>
      </m:oMath>
      <w:r w:rsidR="000E058F">
        <w:rPr>
          <w:sz w:val="24"/>
          <w:szCs w:val="24"/>
        </w:rPr>
        <w:t>.</w:t>
      </w:r>
    </w:p>
    <w:p w:rsidR="000E058F" w:rsidRDefault="000E058F" w:rsidP="006749DA">
      <w:pPr>
        <w:ind w:firstLine="426"/>
        <w:rPr>
          <w:sz w:val="24"/>
          <w:szCs w:val="24"/>
        </w:rPr>
      </w:pPr>
      <w:r>
        <w:rPr>
          <w:sz w:val="24"/>
          <w:szCs w:val="24"/>
        </w:rPr>
        <w:t>Средняя за календарный месяц ключевая ставка ЦБ РФ рассчитывается по формуле (округление до 2 знаков после запятой</w:t>
      </w:r>
      <w:r w:rsidRPr="006749DA">
        <w:rPr>
          <w:sz w:val="24"/>
          <w:szCs w:val="24"/>
        </w:rPr>
        <w:t>)</w:t>
      </w:r>
      <w:r>
        <w:rPr>
          <w:sz w:val="24"/>
          <w:szCs w:val="24"/>
        </w:rPr>
        <w:t>:</w:t>
      </w:r>
    </w:p>
    <w:p w:rsidR="000E058F" w:rsidRDefault="001C18A6" w:rsidP="000E058F">
      <w:pPr>
        <w:spacing w:before="120"/>
        <w:ind w:firstLine="426"/>
        <w:rPr>
          <w:rFonts w:ascii="Cambria Math" w:hAnsi="Cambria Math"/>
          <w:i/>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lang w:eastAsia="en-US"/>
                </w:rPr>
              </m:ctrlPr>
            </m:fPr>
            <m:num>
              <m:nary>
                <m:naryPr>
                  <m:chr m:val="∑"/>
                  <m:limLoc m:val="undOvr"/>
                  <m:supHide m:val="1"/>
                  <m:ctrlPr>
                    <w:rPr>
                      <w:rFonts w:ascii="Cambria Math" w:hAnsi="Cambria Math"/>
                      <w:i/>
                      <w:sz w:val="24"/>
                      <w:szCs w:val="24"/>
                      <w:lang w:eastAsia="en-US"/>
                    </w:rPr>
                  </m:ctrlPr>
                </m:naryPr>
                <m:sub>
                  <m:r>
                    <w:rPr>
                      <w:rFonts w:ascii="Cambria Math" w:hAnsi="Cambria Math"/>
                      <w:sz w:val="24"/>
                      <w:szCs w:val="24"/>
                    </w:rPr>
                    <m:t>i</m:t>
                  </m:r>
                </m:sub>
                <m:sup/>
                <m:e>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0E058F" w:rsidRDefault="000E058F" w:rsidP="000E058F">
      <w:pPr>
        <w:ind w:firstLine="426"/>
        <w:rPr>
          <w:sz w:val="24"/>
          <w:szCs w:val="24"/>
        </w:rPr>
      </w:pPr>
      <w:r>
        <w:rPr>
          <w:sz w:val="24"/>
          <w:szCs w:val="24"/>
        </w:rPr>
        <w:t>где:</w:t>
      </w:r>
    </w:p>
    <w:p w:rsidR="000E058F" w:rsidRPr="006749DA" w:rsidRDefault="000E058F" w:rsidP="000E058F">
      <w:pPr>
        <w:ind w:firstLine="426"/>
        <w:rPr>
          <w:rFonts w:ascii="Cambria Math" w:hAnsi="Cambria Math"/>
          <w:sz w:val="24"/>
          <w:szCs w:val="24"/>
        </w:rPr>
      </w:pPr>
      <m:oMath>
        <m:r>
          <m:rPr>
            <m:sty m:val="p"/>
          </m:rPr>
          <w:rPr>
            <w:rFonts w:ascii="Cambria Math" w:hAnsi="Cambria Math"/>
            <w:sz w:val="24"/>
            <w:szCs w:val="24"/>
          </w:rPr>
          <m:t>T</m:t>
        </m:r>
      </m:oMath>
      <w:r w:rsidRPr="006749DA">
        <w:rPr>
          <w:rFonts w:ascii="Cambria Math" w:hAnsi="Cambria Math"/>
          <w:sz w:val="24"/>
          <w:szCs w:val="24"/>
        </w:rPr>
        <w:t xml:space="preserve"> – количество дней в календарном месяце, за который рассчитывается процентная ставка,</w:t>
      </w:r>
    </w:p>
    <w:p w:rsidR="000E058F" w:rsidRPr="006749DA" w:rsidRDefault="001C18A6"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ключевая ставка ЦБ РФ, действовавшая в i-ом периоде календарного месяца,</w:t>
      </w:r>
    </w:p>
    <w:p w:rsidR="000E058F" w:rsidRPr="006749DA" w:rsidRDefault="001C18A6"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w:t>
      </w:r>
    </w:p>
    <w:p w:rsidR="000E058F" w:rsidRPr="006749DA" w:rsidRDefault="000E058F" w:rsidP="006749DA">
      <w:pPr>
        <w:ind w:firstLine="426"/>
        <w:rPr>
          <w:rFonts w:ascii="Cambria Math" w:hAnsi="Cambria Math"/>
          <w:sz w:val="24"/>
          <w:szCs w:val="24"/>
        </w:rPr>
      </w:pPr>
      <w:r w:rsidRPr="006749DA">
        <w:rPr>
          <w:rFonts w:ascii="Cambria Math" w:hAnsi="Cambria Math"/>
          <w:sz w:val="24"/>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оц.ср.рын.</m:t>
            </m:r>
          </m:sub>
        </m:sSub>
      </m:oMath>
      <w:r w:rsidRPr="006749DA">
        <w:rPr>
          <w:rFonts w:ascii="Cambria Math" w:hAnsi="Cambria Math"/>
          <w:sz w:val="24"/>
          <w:szCs w:val="24"/>
        </w:rPr>
        <w:t xml:space="preserve"> </w:t>
      </w:r>
    </w:p>
    <w:p w:rsidR="000E058F" w:rsidRPr="006749DA" w:rsidRDefault="000E058F" w:rsidP="006749DA">
      <w:pPr>
        <w:ind w:firstLine="426"/>
        <w:rPr>
          <w:rFonts w:ascii="Cambria Math" w:hAnsi="Cambria Math"/>
          <w:sz w:val="24"/>
          <w:szCs w:val="24"/>
        </w:rPr>
      </w:pPr>
    </w:p>
    <w:p w:rsidR="000E058F" w:rsidRDefault="000E058F" w:rsidP="006749DA">
      <w:pPr>
        <w:ind w:firstLine="426"/>
        <w:rPr>
          <w:sz w:val="24"/>
          <w:szCs w:val="24"/>
        </w:rPr>
      </w:pPr>
      <w:r w:rsidRPr="006749DA">
        <w:rPr>
          <w:rFonts w:ascii="Cambria Math" w:hAnsi="Cambria Math"/>
          <w:sz w:val="24"/>
          <w:szCs w:val="24"/>
        </w:rPr>
        <w:t>ЭСП по ценной бумаге на дату ее определения подлежит проверке на соответствие</w:t>
      </w:r>
      <w:r>
        <w:rPr>
          <w:rFonts w:eastAsiaTheme="minorEastAsia"/>
          <w:sz w:val="24"/>
          <w:szCs w:val="24"/>
        </w:rPr>
        <w:t xml:space="preserve"> рыночным условиям.</w:t>
      </w:r>
    </w:p>
    <w:p w:rsidR="000E058F" w:rsidRDefault="000E058F" w:rsidP="000E058F">
      <w:pPr>
        <w:spacing w:before="120"/>
        <w:ind w:firstLine="426"/>
        <w:rPr>
          <w:sz w:val="24"/>
          <w:szCs w:val="24"/>
        </w:rPr>
      </w:pPr>
      <w:r>
        <w:rPr>
          <w:rFonts w:eastAsiaTheme="minorEastAsia"/>
          <w:sz w:val="24"/>
          <w:szCs w:val="24"/>
        </w:rPr>
        <w:t>ЭСП по ценной бумаге</w:t>
      </w:r>
      <w:r>
        <w:rPr>
          <w:sz w:val="24"/>
          <w:szCs w:val="24"/>
        </w:rPr>
        <w:t xml:space="preserve"> признается рыночной, если выполнено условие:</w:t>
      </w:r>
    </w:p>
    <w:p w:rsidR="000E058F" w:rsidRDefault="001C18A6"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*(1-KV)≤rцб≤</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4C42F5" w:rsidRPr="005E2216" w:rsidRDefault="004C42F5" w:rsidP="004C42F5">
      <w:pPr>
        <w:pStyle w:val="a3"/>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Pr>
          <w:rFonts w:eastAsiaTheme="minorEastAsia"/>
          <w:sz w:val="24"/>
          <w:szCs w:val="24"/>
        </w:rPr>
        <w:t xml:space="preserve"> и </w:t>
      </w:r>
      <m:oMath>
        <m:r>
          <w:rPr>
            <w:rFonts w:ascii="Cambria Math" w:hAnsi="Cambria Math"/>
            <w:sz w:val="24"/>
            <w:szCs w:val="24"/>
          </w:rPr>
          <m:t>CrSpread</m:t>
        </m:r>
      </m:oMath>
      <w:r>
        <w:rPr>
          <w:rFonts w:eastAsiaTheme="minorEastAsia"/>
          <w:sz w:val="24"/>
          <w:szCs w:val="24"/>
        </w:rPr>
        <w:t xml:space="preserve"> </w:t>
      </w:r>
      <w:r>
        <w:rPr>
          <w:sz w:val="24"/>
          <w:szCs w:val="24"/>
        </w:rPr>
        <w:t>на горизонте 12 месяцев начиная от даты определения ЭСП.</w:t>
      </w:r>
    </w:p>
    <w:p w:rsidR="000E058F" w:rsidRDefault="001C18A6"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Pr>
          <w:rFonts w:eastAsiaTheme="minorEastAsia"/>
          <w:sz w:val="24"/>
          <w:szCs w:val="24"/>
        </w:rPr>
        <w:t xml:space="preserve"> и </w:t>
      </w:r>
      <m:oMath>
        <m:r>
          <w:rPr>
            <w:rFonts w:ascii="Cambria Math" w:hAnsi="Cambria Math"/>
            <w:sz w:val="24"/>
            <w:szCs w:val="24"/>
          </w:rPr>
          <m:t>CrSpread</m:t>
        </m:r>
      </m:oMath>
      <w:r w:rsidR="000E058F">
        <w:rPr>
          <w:rFonts w:eastAsiaTheme="minorEastAsia"/>
          <w:sz w:val="24"/>
          <w:szCs w:val="24"/>
        </w:rPr>
        <w:t xml:space="preserve"> </w:t>
      </w:r>
      <w:r w:rsidR="000E058F">
        <w:rPr>
          <w:sz w:val="24"/>
          <w:szCs w:val="24"/>
        </w:rPr>
        <w:t>на горизонте 12 месяцев начиная от даты определения ЭСП.</w:t>
      </w:r>
    </w:p>
    <w:p w:rsidR="000E058F" w:rsidRPr="006749DA" w:rsidRDefault="001C18A6"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sidRPr="006749DA">
        <w:rPr>
          <w:rFonts w:ascii="Verdana" w:hAnsi="Verdana"/>
        </w:rPr>
        <w:t xml:space="preserve"> </w:t>
      </w:r>
      <w:r w:rsidR="000E058F" w:rsidRPr="006749DA">
        <w:rPr>
          <w:sz w:val="24"/>
          <w:szCs w:val="24"/>
        </w:rPr>
        <w:t>– доходность кривой бескупонной доходности (</w:t>
      </w:r>
      <w:r w:rsidR="000E058F" w:rsidRPr="006749DA">
        <w:rPr>
          <w:sz w:val="24"/>
          <w:szCs w:val="24"/>
          <w:lang w:val="en-US"/>
        </w:rPr>
        <w:t>G</w:t>
      </w:r>
      <w:r w:rsidR="000E058F" w:rsidRPr="006749DA">
        <w:rPr>
          <w:sz w:val="24"/>
          <w:szCs w:val="24"/>
        </w:rPr>
        <w:t>-кривая), соответствующая дате выплаты i-го денежного потока;</w:t>
      </w:r>
    </w:p>
    <w:p w:rsidR="000E058F" w:rsidRDefault="000E058F" w:rsidP="000E058F">
      <w:pPr>
        <w:ind w:firstLine="426"/>
        <w:rPr>
          <w:sz w:val="24"/>
          <w:szCs w:val="24"/>
        </w:rPr>
      </w:pPr>
      <m:oMath>
        <m:r>
          <w:rPr>
            <w:rFonts w:ascii="Cambria Math" w:hAnsi="Cambria Math"/>
            <w:sz w:val="24"/>
            <w:szCs w:val="24"/>
          </w:rPr>
          <m:t>CrSpread</m:t>
        </m:r>
      </m:oMath>
      <w:r w:rsidRPr="006749DA">
        <w:rPr>
          <w:rFonts w:ascii="Verdana" w:hAnsi="Verdana"/>
        </w:rPr>
        <w:t xml:space="preserve"> </w:t>
      </w:r>
      <w:r w:rsidRPr="006749DA">
        <w:rPr>
          <w:sz w:val="24"/>
          <w:szCs w:val="24"/>
        </w:rPr>
        <w:t xml:space="preserve">– медианное значение кредитного спрэда облигационного индекса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Pr="006749DA">
        <w:rPr>
          <w:sz w:val="24"/>
          <w:szCs w:val="24"/>
        </w:rPr>
        <w:t xml:space="preserve"> – сумма величин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Pr="006749DA">
        <w:rPr>
          <w:rFonts w:eastAsiaTheme="minorEastAsia"/>
          <w:sz w:val="24"/>
          <w:szCs w:val="24"/>
        </w:rPr>
        <w:t xml:space="preserve"> и </w:t>
      </w:r>
      <m:oMath>
        <m:r>
          <w:rPr>
            <w:rFonts w:ascii="Cambria Math" w:hAnsi="Cambria Math"/>
            <w:sz w:val="24"/>
            <w:szCs w:val="24"/>
          </w:rPr>
          <m:t>CrSpread</m:t>
        </m:r>
      </m:oMath>
      <w:r w:rsidRPr="006749DA">
        <w:rPr>
          <w:rFonts w:eastAsiaTheme="minorEastAsia"/>
          <w:sz w:val="24"/>
          <w:szCs w:val="24"/>
        </w:rPr>
        <w:t xml:space="preserve"> на дату проверки ЭСП.</w:t>
      </w:r>
    </w:p>
    <w:p w:rsidR="000E058F" w:rsidRDefault="000E058F" w:rsidP="000E058F">
      <w:pPr>
        <w:spacing w:before="120"/>
        <w:ind w:firstLine="426"/>
        <w:rPr>
          <w:sz w:val="24"/>
          <w:szCs w:val="24"/>
        </w:rPr>
      </w:pPr>
      <w:r>
        <w:rPr>
          <w:sz w:val="24"/>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Pr>
          <w:sz w:val="24"/>
          <w:szCs w:val="24"/>
        </w:rPr>
        <w:t xml:space="preserve"> </w:t>
      </w:r>
    </w:p>
    <w:p w:rsidR="009015E5" w:rsidRPr="00D0017C" w:rsidRDefault="009015E5" w:rsidP="00D817A7">
      <w:pPr>
        <w:jc w:val="both"/>
        <w:rPr>
          <w:rFonts w:eastAsia="Calibri"/>
          <w:sz w:val="24"/>
          <w:szCs w:val="24"/>
          <w:lang w:eastAsia="en-US"/>
        </w:rPr>
      </w:pPr>
    </w:p>
    <w:p w:rsidR="00EC149B" w:rsidRPr="004C42F5" w:rsidRDefault="00EC149B"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EC149B" w:rsidRDefault="00EC149B" w:rsidP="000E00C0">
      <w:pPr>
        <w:pStyle w:val="a3"/>
        <w:spacing w:after="0" w:line="240" w:lineRule="auto"/>
        <w:ind w:left="4820"/>
        <w:jc w:val="right"/>
        <w:rPr>
          <w:rFonts w:ascii="Times New Roman" w:hAnsi="Times New Roman"/>
          <w:b/>
          <w:sz w:val="20"/>
          <w:szCs w:val="20"/>
        </w:rPr>
      </w:pPr>
    </w:p>
    <w:p w:rsidR="00617814" w:rsidRPr="00824429" w:rsidRDefault="000E00C0" w:rsidP="00617814">
      <w:pPr>
        <w:pStyle w:val="a3"/>
        <w:spacing w:after="0" w:line="240" w:lineRule="auto"/>
        <w:ind w:left="4820"/>
        <w:jc w:val="right"/>
        <w:rPr>
          <w:rFonts w:ascii="Times New Roman" w:hAnsi="Times New Roman"/>
          <w:b/>
          <w:sz w:val="28"/>
          <w:szCs w:val="28"/>
        </w:rPr>
      </w:pPr>
      <w:r w:rsidRPr="00824429">
        <w:rPr>
          <w:rFonts w:ascii="Times New Roman" w:hAnsi="Times New Roman"/>
          <w:b/>
          <w:sz w:val="28"/>
          <w:szCs w:val="28"/>
        </w:rPr>
        <w:t xml:space="preserve">Приложение </w:t>
      </w:r>
      <w:r w:rsidR="0055074B" w:rsidRPr="00824429">
        <w:rPr>
          <w:rFonts w:ascii="Times New Roman" w:hAnsi="Times New Roman"/>
          <w:b/>
          <w:sz w:val="28"/>
          <w:szCs w:val="28"/>
        </w:rPr>
        <w:t>3</w:t>
      </w:r>
    </w:p>
    <w:p w:rsidR="000E00C0" w:rsidRPr="00A71E53" w:rsidRDefault="000E00C0" w:rsidP="00D817A7">
      <w:pPr>
        <w:rPr>
          <w:b/>
          <w:sz w:val="24"/>
          <w:szCs w:val="24"/>
        </w:rPr>
      </w:pPr>
      <w:r w:rsidRPr="00A71E53">
        <w:rPr>
          <w:b/>
          <w:sz w:val="24"/>
          <w:szCs w:val="24"/>
        </w:rPr>
        <w:t>Методика определения справедливой стоимости обесцененных активов</w:t>
      </w:r>
    </w:p>
    <w:p w:rsidR="000E00C0" w:rsidRPr="00E64427" w:rsidRDefault="000E00C0" w:rsidP="00D817A7">
      <w:pPr>
        <w:rPr>
          <w:b/>
        </w:rPr>
      </w:pPr>
      <w:r w:rsidRPr="00617814">
        <w:rPr>
          <w:b/>
        </w:rPr>
        <w:t>(часть 1)</w:t>
      </w:r>
    </w:p>
    <w:p w:rsidR="000E00C0" w:rsidRPr="006749DA" w:rsidRDefault="000E00C0" w:rsidP="000E00C0">
      <w:pPr>
        <w:spacing w:line="360" w:lineRule="auto"/>
        <w:ind w:firstLine="709"/>
        <w:jc w:val="both"/>
        <w:rPr>
          <w:sz w:val="24"/>
          <w:szCs w:val="24"/>
        </w:rPr>
      </w:pPr>
      <w:r w:rsidRPr="006749DA">
        <w:rPr>
          <w:sz w:val="24"/>
          <w:szCs w:val="24"/>
        </w:rPr>
        <w:t>1. Регулярно, но не реже, чем на каждую отчетную дату, установленную нормативными актами Банка России для ПИФ, проводится анализ активов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2.</w:t>
      </w:r>
      <w:r w:rsidRPr="006749DA">
        <w:rPr>
          <w:sz w:val="24"/>
          <w:szCs w:val="24"/>
        </w:rPr>
        <w:tab/>
        <w:t>Такие виды активов, как:</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денежные средства на расчетных счетах и во вкладах;</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ценные бумаги, справедливая стоимость которых оценивается с применением  нижеперечисленных моделей оценки 2 и 3 уровня иерархии, а именно:</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CAPM;</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усреднения котировок;</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модели для облигаций 3-го уровня, если актив относится к рейтинговым группам 3 и 4.</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денежных средств, находящихся у профессиональных участников рынка ценных бумаг (брокера)</w:t>
      </w:r>
    </w:p>
    <w:p w:rsidR="000E00C0" w:rsidRPr="006749DA" w:rsidRDefault="000E00C0" w:rsidP="000E00C0">
      <w:pPr>
        <w:spacing w:line="360" w:lineRule="auto"/>
        <w:ind w:firstLine="709"/>
        <w:jc w:val="both"/>
        <w:rPr>
          <w:sz w:val="24"/>
          <w:szCs w:val="24"/>
        </w:rPr>
      </w:pPr>
      <w:r w:rsidRPr="006749DA">
        <w:rPr>
          <w:sz w:val="24"/>
          <w:szCs w:val="24"/>
        </w:rPr>
        <w:t>В случае если суммарная справедливая стоимость таких активов, отражающих требования Фонда к одному и тому же лицу, превышает 0,1% от СЧА Фонда, на каждую дату расчета СЧА подлежат  тестированию на обесценение (далее – «тестируемые активы»).</w:t>
      </w:r>
    </w:p>
    <w:p w:rsidR="000E00C0" w:rsidRPr="006749DA" w:rsidRDefault="000E00C0" w:rsidP="000E00C0">
      <w:pPr>
        <w:spacing w:line="360" w:lineRule="auto"/>
        <w:ind w:firstLine="709"/>
        <w:jc w:val="both"/>
        <w:rPr>
          <w:sz w:val="24"/>
          <w:szCs w:val="24"/>
        </w:rPr>
      </w:pPr>
      <w:r w:rsidRPr="006749DA">
        <w:rPr>
          <w:sz w:val="24"/>
          <w:szCs w:val="24"/>
        </w:rPr>
        <w:t>3. Тестируемые активы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(далее – «негативные события»).</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w:t>
      </w:r>
      <w:r w:rsidRPr="006749DA">
        <w:rPr>
          <w:rFonts w:ascii="Times New Roman" w:hAnsi="Times New Roman"/>
          <w:sz w:val="24"/>
          <w:szCs w:val="24"/>
        </w:rPr>
        <w:tab/>
        <w:t>Признаки обесценения актива (контрагент – юридическое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3.1.1.</w:t>
      </w:r>
      <w:r w:rsidRPr="006749DA">
        <w:rPr>
          <w:rFonts w:ascii="Times New Roman" w:hAnsi="Times New Roman"/>
          <w:sz w:val="24"/>
          <w:szCs w:val="24"/>
        </w:rPr>
        <w:tab/>
        <w:t>Снижение внешнего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Данный пункт применяется для контрагентов, имеющих внешний кредитный рейтинг.</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Информация о снижении кредитного рейтинга отслеживается на сайтах рейтинговых агентств и в средствах массовой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Внешний кредитный рейтинг контрагента – мнение независимого рейтингового агентства о способности контрагента исполнять принятые на себя финансовые обязательства, выраженным с использованием рейтинговой категории по определенной рейтинговой шкале.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целях применения настоящей методики используются рейтинги следующих рейтинговых агентств:</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S&amp;P Global Ratings - https://www.standardandpoors.com (</w:t>
      </w:r>
      <w:r w:rsidRPr="006749DA">
        <w:rPr>
          <w:rFonts w:ascii="Times New Roman" w:hAnsi="Times New Roman"/>
          <w:sz w:val="24"/>
          <w:szCs w:val="24"/>
        </w:rPr>
        <w:t>далее</w:t>
      </w:r>
      <w:r w:rsidRPr="006749DA">
        <w:rPr>
          <w:rFonts w:ascii="Times New Roman" w:hAnsi="Times New Roman"/>
          <w:sz w:val="24"/>
          <w:szCs w:val="24"/>
          <w:lang w:val="en-US"/>
        </w:rPr>
        <w:t xml:space="preserve"> - S&amp;P);</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Moody's Investors Service - https://www.moodys.com (</w:t>
      </w:r>
      <w:r w:rsidRPr="006749DA">
        <w:rPr>
          <w:rFonts w:ascii="Times New Roman" w:hAnsi="Times New Roman"/>
          <w:sz w:val="24"/>
          <w:szCs w:val="24"/>
        </w:rPr>
        <w:t>далее</w:t>
      </w:r>
      <w:r w:rsidRPr="006749DA">
        <w:rPr>
          <w:rFonts w:ascii="Times New Roman" w:hAnsi="Times New Roman"/>
          <w:sz w:val="24"/>
          <w:szCs w:val="24"/>
          <w:lang w:val="en-US"/>
        </w:rPr>
        <w:t xml:space="preserve"> - Moody’s);</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Fitch Ratings - https://www.fitchratings.com (</w:t>
      </w:r>
      <w:r w:rsidRPr="006749DA">
        <w:rPr>
          <w:rFonts w:ascii="Times New Roman" w:hAnsi="Times New Roman"/>
          <w:sz w:val="24"/>
          <w:szCs w:val="24"/>
        </w:rPr>
        <w:t>далее</w:t>
      </w:r>
      <w:r w:rsidRPr="006749DA">
        <w:rPr>
          <w:rFonts w:ascii="Times New Roman" w:hAnsi="Times New Roman"/>
          <w:sz w:val="24"/>
          <w:szCs w:val="24"/>
          <w:lang w:val="en-US"/>
        </w:rPr>
        <w:t xml:space="preserve"> - Fitch);</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«Эксперт РА» - https://raexpert.ru (далее – Эксперт 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«АКРА» (АКРА) - https://www.acra-ratings.ru (далее - АКРА).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являются значительные финансовые затруднения контрагента, выраженные в том, что его внешний кредитный рейтинг снизился на 2 и более ступени с момента последней даты пересмотра рейтинга, в случае если это не вызвано снижением рейтинга Российской Федерации.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3.1.2.</w:t>
      </w:r>
      <w:r w:rsidRPr="006749DA">
        <w:rPr>
          <w:rFonts w:ascii="Times New Roman" w:hAnsi="Times New Roman"/>
          <w:sz w:val="24"/>
          <w:szCs w:val="24"/>
        </w:rPr>
        <w:tab/>
        <w:t>Снижение внутреннего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Данный пункт применяется для контрагентов, не имеющих внешний кредитный рейтинг, но имеющих внутренний кредитный рейтинг.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Внутренний кредитный рейтинг контрагента – кредитный рейтинг, который формируется при оценке финансового положения контрагента, содержит оценку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Уровень внутреннего кредитного рейтинга устанавливается на основании анализа последней по времени квартальной/годовой финансовой отчетности, полученной от контрагента или из общедоступных источников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являются  значительные финансовые затруднения контрагента, выраженные в том, что его внутренний кредитный рейтинг снизился на 3 и более ступени с момента последней отчетности, или если внутренний рейтинг контрагента невозможно определить. В случае если у брокера не предусмотрено право на использование денежных средств, находящихся у него, то событием подтверждающим необходимость обесценения является  переход в рейтинговую группу 3 (если ранее рейтинг относился к группам 1 или 2)  или 4 (если ранее рейтинг относился к группам 1 или 2).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случае если между датой расчета СЧА и датой, на которую составлена последняя полученная от контрагента или из общедоступных источников информации финансовая отчетность  контрагента, прошло более года, то считается, что внутренний рейтинг контрагента определить невозможно.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Внутренний кредитный рейтинг определяется согласно </w:t>
      </w:r>
      <w:r w:rsidR="0055074B" w:rsidRPr="006749DA">
        <w:rPr>
          <w:rFonts w:ascii="Times New Roman" w:hAnsi="Times New Roman"/>
          <w:sz w:val="24"/>
          <w:szCs w:val="24"/>
        </w:rPr>
        <w:t xml:space="preserve">Части 2 Данного </w:t>
      </w:r>
      <w:r w:rsidRPr="006749DA">
        <w:rPr>
          <w:rFonts w:ascii="Times New Roman" w:hAnsi="Times New Roman"/>
          <w:sz w:val="24"/>
          <w:szCs w:val="24"/>
        </w:rPr>
        <w:t>Приложени</w:t>
      </w:r>
      <w:r w:rsidR="0055074B" w:rsidRPr="006749DA">
        <w:rPr>
          <w:rFonts w:ascii="Times New Roman" w:hAnsi="Times New Roman"/>
          <w:sz w:val="24"/>
          <w:szCs w:val="24"/>
        </w:rPr>
        <w:t>я</w:t>
      </w:r>
      <w:r w:rsidRPr="006749DA">
        <w:rPr>
          <w:rFonts w:ascii="Times New Roman" w:hAnsi="Times New Roman"/>
          <w:sz w:val="24"/>
          <w:szCs w:val="24"/>
        </w:rPr>
        <w:t>.</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3.1.3.</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http://bankrot.fedresurs.ru.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3.1.4.</w:t>
      </w:r>
      <w:r w:rsidRPr="006749DA">
        <w:rPr>
          <w:rFonts w:ascii="Times New Roman" w:hAnsi="Times New Roman"/>
          <w:sz w:val="24"/>
          <w:szCs w:val="24"/>
        </w:rPr>
        <w:tab/>
        <w:t>Отзыв (аннулирование) у контрагента лицензии по осуществлению основного вида деятельности.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официальный сайт контрагента, а также на основании информации, опубликованной в следующих доступных источниках: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 xml:space="preserve">https://www.e-disclosure.ru/; </w:t>
      </w:r>
    </w:p>
    <w:p w:rsidR="000E00C0" w:rsidRPr="006749DA" w:rsidRDefault="001C18A6" w:rsidP="000E00C0">
      <w:pPr>
        <w:pStyle w:val="a3"/>
        <w:spacing w:after="0" w:line="360" w:lineRule="auto"/>
        <w:ind w:left="0" w:firstLine="709"/>
        <w:jc w:val="both"/>
        <w:rPr>
          <w:rFonts w:ascii="Times New Roman" w:hAnsi="Times New Roman"/>
          <w:sz w:val="24"/>
          <w:szCs w:val="24"/>
        </w:rPr>
      </w:pPr>
      <w:hyperlink r:id="rId100" w:history="1">
        <w:r w:rsidR="000E00C0" w:rsidRPr="006749DA">
          <w:rPr>
            <w:rStyle w:val="a5"/>
            <w:rFonts w:ascii="Times New Roman" w:hAnsi="Times New Roman"/>
            <w:sz w:val="24"/>
            <w:szCs w:val="24"/>
          </w:rPr>
          <w:t>https://www.moex.com/</w:t>
        </w:r>
      </w:hyperlink>
      <w:r w:rsidR="000E00C0"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https://www.cbr.ru/</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является отзыв (аннулирование) у контрагента лицензии по осуществлению основного вида деятельности.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3.1.5.</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дату расчета СЧА просрочки контрагентом исполнения обязательства перед Фондом, сроком более 7 (семи) / 10 (десяти) рабочих дней после установленного срока для российских / иностранных контрагентов.</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w:t>
      </w:r>
      <w:r w:rsidRPr="006749DA">
        <w:rPr>
          <w:rFonts w:ascii="Times New Roman" w:hAnsi="Times New Roman"/>
          <w:sz w:val="24"/>
          <w:szCs w:val="24"/>
        </w:rPr>
        <w:tab/>
        <w:t>Признаки обесценения актива (контрагент – физическое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3.2.1.</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w:t>
      </w:r>
      <w:r w:rsidRPr="006749DA">
        <w:rPr>
          <w:rStyle w:val="a5"/>
          <w:rFonts w:ascii="Times New Roman" w:hAnsi="Times New Roman"/>
          <w:sz w:val="24"/>
          <w:szCs w:val="24"/>
        </w:rPr>
        <w:t>http://bankrot.fedresurs.ru.</w:t>
      </w:r>
      <w:r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3.2.2.</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отчётную дату просрочки контрагентом исполнения обязательства перед Фондом, сроком 10 дней и более.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keepLines/>
        <w:numPr>
          <w:ilvl w:val="0"/>
          <w:numId w:val="129"/>
        </w:numPr>
        <w:spacing w:after="0" w:line="360" w:lineRule="auto"/>
        <w:ind w:left="0"/>
        <w:jc w:val="both"/>
        <w:rPr>
          <w:rFonts w:ascii="Times New Roman" w:hAnsi="Times New Roman"/>
          <w:sz w:val="24"/>
          <w:szCs w:val="24"/>
        </w:rPr>
      </w:pPr>
      <w:r w:rsidRPr="006749DA">
        <w:rPr>
          <w:rFonts w:ascii="Times New Roman" w:hAnsi="Times New Roman"/>
          <w:sz w:val="24"/>
          <w:szCs w:val="24"/>
        </w:rPr>
        <w:t>Документы, подтверждающие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В случае выявления признаков обесценения в отношении актива управляющая компания оформляет внутренний документ, содержащий:</w:t>
      </w:r>
    </w:p>
    <w:p w:rsidR="000E00C0" w:rsidRPr="006749DA" w:rsidRDefault="000E00C0" w:rsidP="000E00C0">
      <w:pPr>
        <w:spacing w:line="360" w:lineRule="auto"/>
        <w:ind w:firstLine="709"/>
        <w:jc w:val="both"/>
        <w:rPr>
          <w:sz w:val="24"/>
          <w:szCs w:val="24"/>
        </w:rPr>
      </w:pPr>
      <w:r w:rsidRPr="006749DA">
        <w:rPr>
          <w:sz w:val="24"/>
          <w:szCs w:val="24"/>
        </w:rPr>
        <w:t>- сведения об активе, справедливая стоимость которого подлежит обесценению;</w:t>
      </w:r>
    </w:p>
    <w:p w:rsidR="000E00C0" w:rsidRPr="006749DA" w:rsidRDefault="000E00C0" w:rsidP="000E00C0">
      <w:pPr>
        <w:spacing w:line="360" w:lineRule="auto"/>
        <w:ind w:firstLine="709"/>
        <w:jc w:val="both"/>
        <w:rPr>
          <w:sz w:val="24"/>
          <w:szCs w:val="24"/>
        </w:rPr>
      </w:pPr>
      <w:r w:rsidRPr="006749DA">
        <w:rPr>
          <w:sz w:val="24"/>
          <w:szCs w:val="24"/>
        </w:rPr>
        <w:t>- информацию о выявленном признаке обесценения с указанием источника информации или о факте просрочки обязательства;</w:t>
      </w:r>
    </w:p>
    <w:p w:rsidR="000E00C0" w:rsidRPr="006749DA" w:rsidRDefault="000E00C0" w:rsidP="000E00C0">
      <w:pPr>
        <w:spacing w:line="360" w:lineRule="auto"/>
        <w:ind w:firstLine="709"/>
        <w:jc w:val="both"/>
        <w:rPr>
          <w:sz w:val="24"/>
          <w:szCs w:val="24"/>
        </w:rPr>
      </w:pPr>
      <w:r w:rsidRPr="006749DA">
        <w:rPr>
          <w:sz w:val="24"/>
          <w:szCs w:val="24"/>
        </w:rPr>
        <w:t>- 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0E00C0" w:rsidRPr="006749DA" w:rsidRDefault="000E00C0" w:rsidP="000E00C0">
      <w:pPr>
        <w:spacing w:line="360" w:lineRule="auto"/>
        <w:ind w:firstLine="709"/>
        <w:jc w:val="both"/>
        <w:rPr>
          <w:sz w:val="24"/>
          <w:szCs w:val="24"/>
        </w:rPr>
      </w:pPr>
      <w:r w:rsidRPr="006749DA">
        <w:rPr>
          <w:sz w:val="24"/>
          <w:szCs w:val="24"/>
        </w:rPr>
        <w:t>- информацию о наличии обоснованных причин  не проводить корректировку справедливой стоимости активов ПИФ.</w:t>
      </w:r>
    </w:p>
    <w:p w:rsidR="000E00C0" w:rsidRPr="006749DA" w:rsidRDefault="000E00C0" w:rsidP="000E00C0">
      <w:pPr>
        <w:spacing w:line="360" w:lineRule="auto"/>
        <w:ind w:firstLine="709"/>
        <w:jc w:val="both"/>
        <w:rPr>
          <w:sz w:val="24"/>
          <w:szCs w:val="24"/>
        </w:rPr>
      </w:pPr>
      <w:r w:rsidRPr="006749DA">
        <w:rPr>
          <w:sz w:val="24"/>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0E00C0" w:rsidRPr="006749DA" w:rsidRDefault="000E00C0" w:rsidP="000E00C0">
      <w:pPr>
        <w:rPr>
          <w:rFonts w:eastAsia="Calibri"/>
          <w:sz w:val="24"/>
          <w:szCs w:val="24"/>
          <w:lang w:eastAsia="en-US"/>
        </w:rPr>
      </w:pPr>
      <w:r w:rsidRPr="006749DA">
        <w:rPr>
          <w:sz w:val="24"/>
          <w:szCs w:val="24"/>
        </w:rPr>
        <w:br w:type="page"/>
      </w:r>
    </w:p>
    <w:p w:rsidR="000E00C0" w:rsidRPr="006749DA" w:rsidRDefault="000E00C0" w:rsidP="0055074B">
      <w:pPr>
        <w:rPr>
          <w:b/>
          <w:sz w:val="28"/>
          <w:szCs w:val="28"/>
        </w:rPr>
      </w:pPr>
      <w:r w:rsidRPr="006749DA">
        <w:rPr>
          <w:b/>
          <w:sz w:val="28"/>
          <w:szCs w:val="28"/>
        </w:rPr>
        <w:t>Методика определения справедливой  стоимости обесцененных активов</w:t>
      </w:r>
    </w:p>
    <w:p w:rsidR="000E00C0" w:rsidRPr="0055074B" w:rsidRDefault="000E00C0" w:rsidP="0055074B">
      <w:pPr>
        <w:rPr>
          <w:b/>
        </w:rPr>
      </w:pPr>
      <w:r w:rsidRPr="0055074B">
        <w:rPr>
          <w:b/>
        </w:rPr>
        <w:t>(часть 2)</w:t>
      </w:r>
    </w:p>
    <w:p w:rsidR="000E00C0" w:rsidRPr="00D817A7" w:rsidRDefault="000E00C0" w:rsidP="000E00C0">
      <w:pPr>
        <w:pStyle w:val="a3"/>
        <w:spacing w:after="0" w:line="240" w:lineRule="auto"/>
        <w:ind w:left="4820"/>
        <w:jc w:val="right"/>
        <w:rPr>
          <w:rFonts w:ascii="Times New Roman" w:hAnsi="Times New Roman"/>
          <w:b/>
        </w:rPr>
      </w:pPr>
    </w:p>
    <w:p w:rsidR="000E00C0" w:rsidRPr="006749DA" w:rsidRDefault="000E00C0" w:rsidP="000E00C0">
      <w:pPr>
        <w:pStyle w:val="a3"/>
        <w:numPr>
          <w:ilvl w:val="0"/>
          <w:numId w:val="131"/>
        </w:numPr>
        <w:tabs>
          <w:tab w:val="left" w:pos="709"/>
        </w:tabs>
        <w:autoSpaceDE w:val="0"/>
        <w:autoSpaceDN w:val="0"/>
        <w:spacing w:after="0" w:line="360" w:lineRule="auto"/>
        <w:jc w:val="both"/>
        <w:rPr>
          <w:rFonts w:ascii="Times New Roman" w:hAnsi="Times New Roman"/>
          <w:sz w:val="24"/>
          <w:szCs w:val="24"/>
        </w:rPr>
      </w:pPr>
      <w:r w:rsidRPr="006749DA">
        <w:rPr>
          <w:rFonts w:ascii="Times New Roman" w:hAnsi="Times New Roman"/>
          <w:sz w:val="24"/>
          <w:szCs w:val="24"/>
        </w:rPr>
        <w:t>Оценка справедливой стоимости обесцененного актива (обязательства)</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При возникновении признаков обесценения справедливая стоимость актива (обязательства) </w:t>
      </w: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oMath>
      <w:r w:rsidRPr="006749DA">
        <w:rPr>
          <w:sz w:val="24"/>
          <w:szCs w:val="24"/>
        </w:rPr>
        <w:t xml:space="preserve"> определяется с применением модели ожидаемых кредитных убытков в соответствии с формулой:</w:t>
      </w:r>
    </w:p>
    <w:p w:rsidR="000E00C0" w:rsidRPr="006749DA" w:rsidRDefault="001C18A6" w:rsidP="000E00C0">
      <w:pPr>
        <w:tabs>
          <w:tab w:val="left" w:pos="0"/>
        </w:tabs>
        <w:spacing w:line="360" w:lineRule="auto"/>
        <w:ind w:left="-142" w:firstLine="142"/>
        <w:jc w:val="center"/>
        <w:rPr>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r>
            <m:rPr>
              <m:sty m:val="p"/>
            </m:rPr>
            <w:rPr>
              <w:rFonts w:ascii="Cambria Math" w:hAnsi="Cambria Math"/>
              <w:sz w:val="24"/>
              <w:szCs w:val="24"/>
            </w:rPr>
            <m:t>=</m:t>
          </m:r>
          <m:r>
            <w:rPr>
              <w:rFonts w:ascii="Cambria Math" w:hAnsi="Cambria Math"/>
              <w:sz w:val="24"/>
              <w:szCs w:val="24"/>
            </w:rPr>
            <m:t>PV-</m:t>
          </m:r>
          <m:r>
            <m:rPr>
              <m:sty m:val="p"/>
            </m:rPr>
            <w:rPr>
              <w:rFonts w:ascii="Cambria Math" w:hAnsi="Cambria Math"/>
              <w:sz w:val="24"/>
              <w:szCs w:val="24"/>
            </w:rPr>
            <m:t>ECL=</m:t>
          </m:r>
          <m:r>
            <w:rPr>
              <w:rFonts w:ascii="Cambria Math" w:hAnsi="Cambria Math"/>
              <w:sz w:val="24"/>
              <w:szCs w:val="24"/>
            </w:rPr>
            <m:t>PV-PV*PD*LGD=</m:t>
          </m:r>
        </m:oMath>
      </m:oMathPara>
    </w:p>
    <w:p w:rsidR="000E00C0" w:rsidRPr="006749DA" w:rsidRDefault="000E00C0" w:rsidP="000E00C0">
      <w:pPr>
        <w:tabs>
          <w:tab w:val="left" w:pos="0"/>
        </w:tabs>
        <w:spacing w:line="360" w:lineRule="auto"/>
        <w:ind w:left="3686"/>
        <w:jc w:val="right"/>
        <w:rPr>
          <w:i/>
          <w:sz w:val="24"/>
          <w:szCs w:val="24"/>
        </w:rPr>
      </w:pPr>
      <m:oMath>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r>
              <w:rPr>
                <w:rFonts w:ascii="Cambria Math" w:hAnsi="Cambria Math"/>
                <w:sz w:val="24"/>
                <w:szCs w:val="24"/>
                <w:lang w:val="en-US"/>
              </w:rPr>
              <m:t>LGD</m:t>
            </m:r>
          </m:e>
        </m:d>
        <m:r>
          <w:rPr>
            <w:rFonts w:ascii="Cambria Math" w:hAnsi="Cambria Math"/>
            <w:sz w:val="24"/>
            <w:szCs w:val="24"/>
          </w:rPr>
          <m:t>*</m:t>
        </m:r>
        <m:r>
          <w:rPr>
            <w:rFonts w:ascii="Cambria Math" w:hAnsi="Cambria Math"/>
            <w:sz w:val="24"/>
            <w:szCs w:val="24"/>
            <w:lang w:val="en-US"/>
          </w:rPr>
          <m:t>PV</m:t>
        </m:r>
        <m:r>
          <w:rPr>
            <w:rFonts w:ascii="Cambria Math" w:hAnsi="Cambria Math"/>
            <w:sz w:val="24"/>
            <w:szCs w:val="24"/>
          </w:rPr>
          <m:t>,</m:t>
        </m:r>
      </m:oMath>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t>(1)</w:t>
      </w:r>
    </w:p>
    <w:p w:rsidR="000E00C0" w:rsidRPr="006749DA" w:rsidRDefault="000E00C0" w:rsidP="000E00C0">
      <w:pPr>
        <w:spacing w:line="360" w:lineRule="auto"/>
        <w:jc w:val="both"/>
        <w:rPr>
          <w:sz w:val="24"/>
          <w:szCs w:val="24"/>
        </w:rPr>
      </w:pPr>
      <w:r w:rsidRPr="006749DA">
        <w:rPr>
          <w:sz w:val="24"/>
          <w:szCs w:val="24"/>
        </w:rPr>
        <w:t>где</w:t>
      </w:r>
    </w:p>
    <w:p w:rsidR="000E00C0" w:rsidRPr="006749DA" w:rsidRDefault="000E00C0" w:rsidP="000E00C0">
      <w:pPr>
        <w:spacing w:line="360" w:lineRule="auto"/>
        <w:jc w:val="both"/>
        <w:rPr>
          <w:sz w:val="24"/>
          <w:szCs w:val="24"/>
        </w:rPr>
      </w:pPr>
      <m:oMath>
        <m:r>
          <w:rPr>
            <w:rFonts w:ascii="Cambria Math" w:hAnsi="Cambria Math"/>
            <w:sz w:val="24"/>
            <w:szCs w:val="24"/>
          </w:rPr>
          <m:t>PV</m:t>
        </m:r>
        <m:r>
          <m:rPr>
            <m:sty m:val="p"/>
          </m:rPr>
          <w:rPr>
            <w:rFonts w:ascii="Cambria Math" w:hAnsi="Cambria Math"/>
            <w:sz w:val="24"/>
            <w:szCs w:val="24"/>
          </w:rPr>
          <m:t xml:space="preserve"> </m:t>
        </m:r>
      </m:oMath>
      <w:r w:rsidRPr="006749DA">
        <w:rPr>
          <w:sz w:val="24"/>
          <w:szCs w:val="24"/>
        </w:rPr>
        <w:t>– справедливая стоимость актива (обязательства) без учета кредитного риска, определенная в соответствии с методом оценки согласно Правилам СЧА;</w:t>
      </w:r>
    </w:p>
    <w:p w:rsidR="000E00C0" w:rsidRPr="006749DA" w:rsidRDefault="000E00C0" w:rsidP="000E00C0">
      <w:pPr>
        <w:spacing w:line="360" w:lineRule="auto"/>
        <w:jc w:val="both"/>
        <w:rPr>
          <w:sz w:val="24"/>
          <w:szCs w:val="24"/>
        </w:rPr>
      </w:pPr>
      <m:oMath>
        <m:r>
          <w:rPr>
            <w:rFonts w:ascii="Cambria Math" w:hAnsi="Cambria Math"/>
            <w:sz w:val="24"/>
            <w:szCs w:val="24"/>
          </w:rPr>
          <m:t>ECL</m:t>
        </m:r>
        <m:r>
          <m:rPr>
            <m:sty m:val="p"/>
          </m:rPr>
          <w:rPr>
            <w:rFonts w:ascii="Cambria Math" w:hAnsi="Cambria Math"/>
            <w:sz w:val="24"/>
            <w:szCs w:val="24"/>
          </w:rPr>
          <m:t xml:space="preserve"> </m:t>
        </m:r>
      </m:oMath>
      <w:r w:rsidRPr="006749DA">
        <w:rPr>
          <w:i/>
          <w:sz w:val="24"/>
          <w:szCs w:val="24"/>
        </w:rPr>
        <w:t>(</w:t>
      </w:r>
      <w:r w:rsidRPr="006749DA">
        <w:rPr>
          <w:sz w:val="24"/>
          <w:szCs w:val="24"/>
        </w:rPr>
        <w:t>Expected credit losses, величина ожидаемых кредитных убытков, руб.</w:t>
      </w:r>
      <w:r w:rsidRPr="006749DA">
        <w:rPr>
          <w:i/>
          <w:sz w:val="24"/>
          <w:szCs w:val="24"/>
        </w:rPr>
        <w:t>)</w:t>
      </w:r>
      <w:r w:rsidRPr="006749DA">
        <w:rPr>
          <w:sz w:val="24"/>
          <w:szCs w:val="24"/>
        </w:rPr>
        <w:t xml:space="preserve"> – величина ожидаемых кредитных убытков, корректирующая денежные потоки, приведенная к моменту оценки;</w:t>
      </w:r>
    </w:p>
    <w:p w:rsidR="000E00C0" w:rsidRPr="006749DA" w:rsidRDefault="000E00C0" w:rsidP="000E00C0">
      <w:pPr>
        <w:spacing w:line="360" w:lineRule="auto"/>
        <w:jc w:val="both"/>
        <w:rPr>
          <w:sz w:val="24"/>
          <w:szCs w:val="24"/>
        </w:rPr>
      </w:pPr>
      <w:r w:rsidRPr="006749DA">
        <w:rPr>
          <w:i/>
          <w:sz w:val="24"/>
          <w:szCs w:val="24"/>
        </w:rPr>
        <w:t xml:space="preserve">PD </w:t>
      </w:r>
      <w:r w:rsidRPr="006749DA">
        <w:rPr>
          <w:sz w:val="24"/>
          <w:szCs w:val="24"/>
        </w:rPr>
        <w:t xml:space="preserve">(Probability of Default, вероятность дефолта, </w:t>
      </w:r>
      <m:oMath>
        <m:r>
          <w:rPr>
            <w:rFonts w:ascii="Cambria Math" w:hAnsi="Cambria Math"/>
            <w:sz w:val="24"/>
            <w:szCs w:val="24"/>
          </w:rPr>
          <m:t>0≤PD≤1</m:t>
        </m:r>
      </m:oMath>
      <w:r w:rsidRPr="006749DA">
        <w:rPr>
          <w:sz w:val="24"/>
          <w:szCs w:val="24"/>
        </w:rPr>
        <w:t>) – оценка вероятности, с которой контрагент в течение заданного промежутка времени может оказаться в состоянии дефолта;</w:t>
      </w:r>
    </w:p>
    <w:p w:rsidR="000E00C0" w:rsidRPr="006749DA" w:rsidRDefault="000E00C0" w:rsidP="000E00C0">
      <w:pPr>
        <w:spacing w:line="360" w:lineRule="auto"/>
        <w:jc w:val="both"/>
        <w:rPr>
          <w:sz w:val="24"/>
          <w:szCs w:val="24"/>
        </w:rPr>
      </w:pPr>
      <w:r w:rsidRPr="006749DA">
        <w:rPr>
          <w:i/>
          <w:sz w:val="24"/>
          <w:szCs w:val="24"/>
        </w:rPr>
        <w:t xml:space="preserve">LGD </w:t>
      </w:r>
      <w:r w:rsidRPr="006749DA">
        <w:rPr>
          <w:sz w:val="24"/>
          <w:szCs w:val="24"/>
        </w:rPr>
        <w:t xml:space="preserve">(Loss Given Default, уровень потерь при дефолте, </w:t>
      </w:r>
      <m:oMath>
        <m:r>
          <w:rPr>
            <w:rFonts w:ascii="Cambria Math" w:hAnsi="Cambria Math"/>
            <w:sz w:val="24"/>
            <w:szCs w:val="24"/>
          </w:rPr>
          <m:t>0≤LGD≤1</m:t>
        </m:r>
      </m:oMath>
      <w:r w:rsidRPr="006749DA">
        <w:rPr>
          <w:sz w:val="24"/>
          <w:szCs w:val="24"/>
        </w:rPr>
        <w:t>) – доля от суммы, подверженной кредитному риску, которая может быть потеряна в случае дефолта контрагента. Оценка убытка, возникающего в случае дефолта, основана на разнице между денежными потоками, предусмотренными договором, и ожидаемыми денежными потоками в дефолте, в том числе от реализации залогового обеспечения (при наличии).</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Величина </w:t>
      </w:r>
      <m:oMath>
        <m:d>
          <m:dPr>
            <m:ctrlPr>
              <w:rPr>
                <w:rFonts w:ascii="Cambria Math" w:hAnsi="Cambria Math"/>
                <w:sz w:val="24"/>
                <w:szCs w:val="24"/>
              </w:rPr>
            </m:ctrlPr>
          </m:dPr>
          <m:e>
            <m:r>
              <m:rPr>
                <m:sty m:val="p"/>
              </m:rPr>
              <w:rPr>
                <w:rFonts w:ascii="Cambria Math" w:hAnsi="Cambria Math"/>
                <w:sz w:val="24"/>
                <w:szCs w:val="24"/>
              </w:rPr>
              <m:t>1-PD*LGD</m:t>
            </m:r>
          </m:e>
        </m:d>
      </m:oMath>
      <w:r w:rsidRPr="006749DA">
        <w:rPr>
          <w:sz w:val="24"/>
          <w:szCs w:val="24"/>
        </w:rPr>
        <w:t xml:space="preserve"> определяется с точностью до двух знаков после запятой.</w:t>
      </w:r>
    </w:p>
    <w:p w:rsidR="000E00C0" w:rsidRPr="006749DA" w:rsidRDefault="000E00C0" w:rsidP="000E00C0">
      <w:pPr>
        <w:keepLines/>
        <w:spacing w:before="120" w:after="120" w:line="360" w:lineRule="auto"/>
        <w:rPr>
          <w:sz w:val="24"/>
          <w:szCs w:val="24"/>
        </w:rPr>
      </w:pPr>
      <w:r w:rsidRPr="006749DA">
        <w:rPr>
          <w:rFonts w:eastAsia="Calibri"/>
          <w:sz w:val="24"/>
          <w:szCs w:val="24"/>
          <w:lang w:eastAsia="en-US"/>
        </w:rPr>
        <w:t>2.</w:t>
      </w:r>
      <w:r w:rsidRPr="006749DA">
        <w:rPr>
          <w:sz w:val="24"/>
          <w:szCs w:val="24"/>
        </w:rPr>
        <w:t xml:space="preserve"> Порядок определения кредитного рейтинга контрагента (контрагенты – юридические лица)</w:t>
      </w:r>
    </w:p>
    <w:p w:rsidR="000E00C0" w:rsidRPr="006749DA" w:rsidRDefault="000E00C0" w:rsidP="000E00C0">
      <w:pPr>
        <w:pStyle w:val="a3"/>
        <w:keepLines/>
        <w:numPr>
          <w:ilvl w:val="1"/>
          <w:numId w:val="132"/>
        </w:numPr>
        <w:spacing w:before="120" w:after="120" w:line="360" w:lineRule="auto"/>
        <w:ind w:left="720"/>
        <w:rPr>
          <w:rFonts w:ascii="Times New Roman" w:hAnsi="Times New Roman"/>
          <w:sz w:val="24"/>
          <w:szCs w:val="24"/>
        </w:rPr>
      </w:pPr>
      <w:r w:rsidRPr="006749DA">
        <w:rPr>
          <w:rFonts w:ascii="Times New Roman" w:hAnsi="Times New Roman"/>
          <w:sz w:val="24"/>
          <w:szCs w:val="24"/>
        </w:rPr>
        <w:t>Определение внешнего кредитного рейтинга контрагента</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color w:val="000000"/>
          <w:sz w:val="24"/>
          <w:szCs w:val="24"/>
        </w:rPr>
        <w:t xml:space="preserve">На каждую дату расчета СЧА в соответствии с настоящей Методикой определяется перечень и характеристики финансовых активов, </w:t>
      </w:r>
      <w:r w:rsidRPr="006749DA">
        <w:rPr>
          <w:rFonts w:ascii="Times New Roman" w:hAnsi="Times New Roman"/>
          <w:sz w:val="24"/>
          <w:szCs w:val="24"/>
        </w:rPr>
        <w:t xml:space="preserve">тестируемых на обесценение. </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sz w:val="24"/>
          <w:szCs w:val="24"/>
        </w:rPr>
        <w:t xml:space="preserve">По каждому активу определяется контрагент. </w:t>
      </w:r>
      <w:r w:rsidRPr="006749DA">
        <w:rPr>
          <w:rFonts w:ascii="Times New Roman" w:hAnsi="Times New Roman"/>
          <w:color w:val="000000"/>
          <w:sz w:val="24"/>
          <w:szCs w:val="24"/>
        </w:rPr>
        <w:t>По контрагенту определяются внешние (долгосрочные) кредитные рейтинги, присвоенные на дату расчёта СЧА международными</w:t>
      </w:r>
      <w:r w:rsidRPr="006749DA">
        <w:rPr>
          <w:rStyle w:val="ad"/>
          <w:rFonts w:ascii="Times New Roman" w:hAnsi="Times New Roman"/>
          <w:color w:val="000000"/>
          <w:sz w:val="24"/>
          <w:szCs w:val="24"/>
        </w:rPr>
        <w:footnoteReference w:id="1"/>
      </w:r>
      <w:r w:rsidRPr="006749DA">
        <w:rPr>
          <w:rFonts w:ascii="Times New Roman" w:hAnsi="Times New Roman"/>
          <w:color w:val="000000"/>
          <w:sz w:val="24"/>
          <w:szCs w:val="24"/>
        </w:rPr>
        <w:t xml:space="preserve"> (S&amp;P, Moody’s, Fitch) и национальными</w:t>
      </w:r>
      <w:r w:rsidRPr="006749DA">
        <w:rPr>
          <w:rStyle w:val="ad"/>
          <w:rFonts w:ascii="Times New Roman" w:hAnsi="Times New Roman"/>
          <w:color w:val="000000"/>
          <w:sz w:val="24"/>
          <w:szCs w:val="24"/>
        </w:rPr>
        <w:footnoteReference w:id="2"/>
      </w:r>
      <w:r w:rsidRPr="006749DA">
        <w:rPr>
          <w:rFonts w:ascii="Times New Roman" w:hAnsi="Times New Roman"/>
          <w:color w:val="000000"/>
          <w:sz w:val="24"/>
          <w:szCs w:val="24"/>
        </w:rPr>
        <w:t xml:space="preserve"> (Эксперт РА, АКРА) рейтинговыми агентствами. </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color w:val="000000"/>
          <w:sz w:val="24"/>
          <w:szCs w:val="24"/>
        </w:rPr>
      </w:pPr>
      <w:r w:rsidRPr="006749DA">
        <w:rPr>
          <w:rFonts w:ascii="Times New Roman" w:hAnsi="Times New Roman"/>
          <w:color w:val="000000"/>
          <w:sz w:val="24"/>
          <w:szCs w:val="24"/>
        </w:rPr>
        <w:t>В случае если контрагенту присвоен кредитный рейтинг более чем одним международным и (или) национальным агентством, выбирается наименьшее (наилучшее) значение рейтинга контрагента в соответствии с Таблицей 1 «Соответствие рейтингов рейтинговых агентств».</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внешнего кредитного рейтинга контрагента, но наличии внешнего кредитного рейтинга материнской компании контрагента/поручителя/гаранта, данному контрагенту присваивается внешний кредитный рейтинг его материнской компании/поручителя/гаранта.</w:t>
      </w:r>
    </w:p>
    <w:p w:rsidR="000E00C0" w:rsidRPr="00D817A7" w:rsidRDefault="000E00C0" w:rsidP="000E00C0">
      <w:pPr>
        <w:spacing w:line="360" w:lineRule="auto"/>
        <w:jc w:val="right"/>
        <w:rPr>
          <w:sz w:val="22"/>
          <w:szCs w:val="22"/>
        </w:rPr>
      </w:pPr>
      <w:bookmarkStart w:id="2" w:name="_Toc536015647"/>
      <w:r w:rsidRPr="00D817A7">
        <w:rPr>
          <w:sz w:val="22"/>
          <w:szCs w:val="22"/>
        </w:rPr>
        <w:t>Таблица 1. Соответствие рейтингов рейтинговых агентств</w:t>
      </w:r>
      <w:bookmarkEnd w:id="2"/>
    </w:p>
    <w:tbl>
      <w:tblPr>
        <w:tblW w:w="5000" w:type="pct"/>
        <w:tblLook w:val="04A0" w:firstRow="1" w:lastRow="0" w:firstColumn="1" w:lastColumn="0" w:noHBand="0" w:noVBand="1"/>
      </w:tblPr>
      <w:tblGrid>
        <w:gridCol w:w="1513"/>
        <w:gridCol w:w="1374"/>
        <w:gridCol w:w="1374"/>
        <w:gridCol w:w="1374"/>
        <w:gridCol w:w="1939"/>
        <w:gridCol w:w="1939"/>
      </w:tblGrid>
      <w:tr w:rsidR="000E00C0" w:rsidRPr="00EC149B" w:rsidTr="000E00C0">
        <w:trPr>
          <w:trHeight w:val="383"/>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Рейтинговая группа</w:t>
            </w:r>
          </w:p>
        </w:tc>
        <w:tc>
          <w:tcPr>
            <w:tcW w:w="4204"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Рейтинги кредитных рейтинговых агентств</w:t>
            </w:r>
          </w:p>
        </w:tc>
      </w:tr>
      <w:tr w:rsidR="000E00C0" w:rsidRPr="00EC149B" w:rsidTr="000E00C0">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S&amp;P</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Moody`s</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Fitch</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Эксперт РА</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АКРА</w:t>
            </w:r>
          </w:p>
        </w:tc>
      </w:tr>
      <w:tr w:rsidR="000E00C0" w:rsidRPr="00EC149B" w:rsidTr="000E00C0">
        <w:trPr>
          <w:trHeight w:val="231"/>
        </w:trPr>
        <w:tc>
          <w:tcPr>
            <w:tcW w:w="796" w:type="pct"/>
            <w:tcBorders>
              <w:top w:val="nil"/>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4</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5</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6</w:t>
            </w:r>
          </w:p>
        </w:tc>
      </w:tr>
      <w:tr w:rsidR="000E00C0" w:rsidRPr="00EC149B" w:rsidTr="000E00C0">
        <w:trPr>
          <w:trHeight w:val="271"/>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w:t>
            </w:r>
            <w:r w:rsidRPr="00D817A7">
              <w:rPr>
                <w:sz w:val="22"/>
                <w:szCs w:val="22"/>
                <w:lang w:val="en-US"/>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BaaЗВ</w:t>
            </w:r>
            <w:r w:rsidRPr="00D817A7">
              <w:rPr>
                <w:sz w:val="22"/>
                <w:szCs w:val="22"/>
                <w:lang w:val="en-US"/>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Baa</w:t>
            </w:r>
            <w:r w:rsidRPr="00D817A7">
              <w:rPr>
                <w:sz w:val="22"/>
                <w:szCs w:val="22"/>
                <w:lang w:val="en-US"/>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AAA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А(RU), A-(RU)</w:t>
            </w:r>
          </w:p>
        </w:tc>
      </w:tr>
      <w:tr w:rsidR="000E00C0" w:rsidRPr="00EC149B" w:rsidTr="000E00C0">
        <w:trPr>
          <w:trHeight w:val="247"/>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BBB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BB+(RU)</w:t>
            </w:r>
          </w:p>
        </w:tc>
      </w:tr>
      <w:tr w:rsidR="000E00C0" w:rsidRPr="00EC149B" w:rsidTr="000E00C0">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w:t>
            </w:r>
          </w:p>
        </w:tc>
      </w:tr>
      <w:tr w:rsidR="000E00C0" w:rsidRPr="00EC149B" w:rsidTr="000E00C0">
        <w:trPr>
          <w:trHeight w:val="247"/>
        </w:trPr>
        <w:tc>
          <w:tcPr>
            <w:tcW w:w="7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Caa-C</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 и ниже</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 и ниже</w:t>
            </w:r>
          </w:p>
        </w:tc>
      </w:tr>
      <w:tr w:rsidR="000E00C0" w:rsidRPr="00EC149B" w:rsidTr="000E00C0">
        <w:trPr>
          <w:trHeight w:val="117"/>
        </w:trPr>
        <w:tc>
          <w:tcPr>
            <w:tcW w:w="796" w:type="pct"/>
            <w:tcBorders>
              <w:top w:val="single" w:sz="4" w:space="0" w:color="auto"/>
              <w:left w:val="single" w:sz="4" w:space="0" w:color="auto"/>
              <w:bottom w:val="single" w:sz="4" w:space="0" w:color="auto"/>
              <w:right w:val="single" w:sz="4" w:space="0" w:color="auto"/>
            </w:tcBorders>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D(RU)</w:t>
            </w:r>
          </w:p>
        </w:tc>
      </w:tr>
    </w:tbl>
    <w:p w:rsidR="000E00C0" w:rsidRPr="00D817A7" w:rsidRDefault="000E00C0" w:rsidP="000E00C0">
      <w:pPr>
        <w:pStyle w:val="a3"/>
        <w:tabs>
          <w:tab w:val="left" w:pos="709"/>
        </w:tabs>
        <w:autoSpaceDE w:val="0"/>
        <w:autoSpaceDN w:val="0"/>
        <w:adjustRightInd w:val="0"/>
        <w:spacing w:line="300" w:lineRule="auto"/>
        <w:ind w:left="709"/>
        <w:jc w:val="both"/>
        <w:rPr>
          <w:rFonts w:ascii="Times New Roman" w:hAnsi="Times New Roman"/>
        </w:rPr>
      </w:pPr>
    </w:p>
    <w:p w:rsidR="000E00C0" w:rsidRPr="006749DA" w:rsidRDefault="000E00C0" w:rsidP="000E00C0">
      <w:pPr>
        <w:pStyle w:val="a3"/>
        <w:numPr>
          <w:ilvl w:val="2"/>
          <w:numId w:val="134"/>
        </w:numPr>
        <w:tabs>
          <w:tab w:val="left" w:pos="709"/>
        </w:tabs>
        <w:autoSpaceDE w:val="0"/>
        <w:autoSpaceDN w:val="0"/>
        <w:adjustRightInd w:val="0"/>
        <w:spacing w:after="120" w:line="360" w:lineRule="auto"/>
        <w:ind w:left="0" w:firstLine="0"/>
        <w:jc w:val="both"/>
        <w:rPr>
          <w:rFonts w:ascii="Times New Roman" w:hAnsi="Times New Roman"/>
          <w:sz w:val="24"/>
          <w:szCs w:val="24"/>
        </w:rPr>
      </w:pPr>
      <w:r w:rsidRPr="006749DA">
        <w:rPr>
          <w:rFonts w:ascii="Times New Roman" w:hAnsi="Times New Roman"/>
          <w:sz w:val="24"/>
          <w:szCs w:val="24"/>
        </w:rPr>
        <w:t xml:space="preserve">При отсутствии внешнего кредитного рейтинга контрагента, но наличии копии бухгалтерской отчетности контрагента, необходимой для определения внутреннего кредитного рейтинга контрагента определяется внутренний кредитный рейтинг контрагента. </w:t>
      </w:r>
    </w:p>
    <w:p w:rsidR="000E00C0" w:rsidRPr="00D817A7" w:rsidRDefault="000E00C0" w:rsidP="000E00C0">
      <w:pPr>
        <w:pStyle w:val="a3"/>
        <w:keepLines/>
        <w:numPr>
          <w:ilvl w:val="1"/>
          <w:numId w:val="132"/>
        </w:numPr>
        <w:spacing w:line="360" w:lineRule="auto"/>
        <w:ind w:left="720"/>
        <w:rPr>
          <w:rFonts w:ascii="Times New Roman" w:hAnsi="Times New Roman"/>
          <w:b/>
          <w:i/>
        </w:rPr>
      </w:pPr>
      <w:r w:rsidRPr="00D817A7">
        <w:rPr>
          <w:rFonts w:ascii="Times New Roman" w:hAnsi="Times New Roman"/>
          <w:b/>
          <w:i/>
        </w:rPr>
        <w:t>Определение внутреннего кредитного рейтинга контрагента</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Внутренний кредитный рейтинг контрагента устанавливается на основании коэффициента кредитоспособности (КК) контрагента - юридического лица (ООО, ОАО, АО), который формируется при оценке финансового положения контрагента и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Для расчета используется последняя (составленная на дату, наиболее близкую к дате расчета СЧА) квартальная/годовая финансовая отчетность.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Коэффициент кредитоспособности контрагента определяется по формуле:</w:t>
      </w:r>
    </w:p>
    <w:p w:rsidR="000E00C0" w:rsidRPr="006749DA" w:rsidRDefault="000E00C0" w:rsidP="000E00C0">
      <w:pPr>
        <w:spacing w:line="360" w:lineRule="auto"/>
        <w:jc w:val="right"/>
        <w:rPr>
          <w:bCs/>
          <w:sz w:val="24"/>
          <w:szCs w:val="24"/>
        </w:rPr>
      </w:pPr>
      <m:oMath>
        <m:r>
          <w:rPr>
            <w:rFonts w:ascii="Cambria Math" w:hAnsi="Cambria Math" w:hint="eastAsia"/>
            <w:sz w:val="24"/>
            <w:szCs w:val="24"/>
          </w:rPr>
          <m:t>КК</m:t>
        </m:r>
        <m:r>
          <w:rPr>
            <w:rFonts w:ascii="Cambria Math" w:hAnsi="Cambria Math"/>
            <w:sz w:val="24"/>
            <w:szCs w:val="24"/>
          </w:rPr>
          <m:t>=</m:t>
        </m:r>
        <m:nary>
          <m:naryPr>
            <m:chr m:val="∑"/>
            <m:limLoc m:val="undOvr"/>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9</m:t>
            </m:r>
          </m:sup>
          <m:e>
            <m:sSub>
              <m:sSubPr>
                <m:ctrlPr>
                  <w:rPr>
                    <w:rFonts w:ascii="Cambria Math" w:hAnsi="Cambria Math"/>
                    <w:bCs/>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i</m:t>
                </m:r>
              </m:sub>
            </m:sSub>
          </m:e>
        </m:nary>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i</m:t>
            </m:r>
          </m:sub>
        </m:sSub>
      </m:oMath>
      <w:r w:rsidRPr="006749DA">
        <w:rPr>
          <w:bCs/>
          <w:sz w:val="24"/>
          <w:szCs w:val="24"/>
        </w:rPr>
        <w:t>,</w:t>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t>(2)</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где</w:t>
      </w:r>
    </w:p>
    <w:p w:rsidR="000E00C0" w:rsidRPr="006749DA" w:rsidRDefault="001C18A6"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баллы в соответствии со значением  коэффициента,</w:t>
      </w:r>
    </w:p>
    <w:p w:rsidR="000E00C0" w:rsidRPr="006749DA" w:rsidRDefault="001C18A6"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вес коэффициента.</w:t>
      </w:r>
    </w:p>
    <w:p w:rsidR="000E00C0" w:rsidRPr="006749DA" w:rsidRDefault="000E00C0" w:rsidP="000E00C0">
      <w:pPr>
        <w:spacing w:line="360" w:lineRule="auto"/>
        <w:ind w:firstLine="709"/>
        <w:jc w:val="both"/>
        <w:rPr>
          <w:rFonts w:eastAsia="MS Mincho"/>
          <w:b/>
          <w:i/>
          <w:sz w:val="24"/>
          <w:szCs w:val="24"/>
        </w:rPr>
      </w:pPr>
      <w:r w:rsidRPr="006749DA">
        <w:rPr>
          <w:rFonts w:eastAsia="MS Mincho"/>
          <w:b/>
          <w:i/>
          <w:sz w:val="24"/>
          <w:szCs w:val="24"/>
        </w:rPr>
        <w:t>Значение коэффициента кредитоспособности</w:t>
      </w:r>
      <w:r w:rsidRPr="006749DA">
        <w:rPr>
          <w:rFonts w:eastAsia="MS Mincho"/>
          <w:b/>
          <w:sz w:val="24"/>
          <w:szCs w:val="24"/>
        </w:rPr>
        <w:t xml:space="preserve"> </w:t>
      </w:r>
      <w:r w:rsidRPr="006749DA">
        <w:rPr>
          <w:rFonts w:eastAsia="MS Mincho"/>
          <w:b/>
          <w:i/>
          <w:sz w:val="24"/>
          <w:szCs w:val="24"/>
          <w:lang w:val="en-US"/>
        </w:rPr>
        <w:t>KK</w:t>
      </w:r>
      <w:r w:rsidRPr="006749DA">
        <w:rPr>
          <w:rFonts w:eastAsia="MS Mincho"/>
          <w:b/>
          <w:sz w:val="24"/>
          <w:szCs w:val="24"/>
        </w:rPr>
        <w:t xml:space="preserve"> </w:t>
      </w:r>
      <w:r w:rsidRPr="006749DA">
        <w:rPr>
          <w:rFonts w:eastAsia="MS Mincho"/>
          <w:b/>
          <w:i/>
          <w:sz w:val="24"/>
          <w:szCs w:val="24"/>
        </w:rPr>
        <w:t>округляется до целого числа по математическим правилам.</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 зависимости от типа организации в Таблицах 2.1 и 2.2 приводятся используемые в расчете коэффициенты и их веса.</w:t>
      </w:r>
    </w:p>
    <w:p w:rsidR="000E00C0" w:rsidRPr="00D817A7" w:rsidRDefault="000E00C0" w:rsidP="000E00C0">
      <w:pPr>
        <w:ind w:firstLine="567"/>
        <w:jc w:val="right"/>
        <w:rPr>
          <w:sz w:val="22"/>
          <w:szCs w:val="22"/>
        </w:rPr>
      </w:pPr>
      <w:r w:rsidRPr="00D817A7">
        <w:rPr>
          <w:sz w:val="22"/>
          <w:szCs w:val="22"/>
        </w:rPr>
        <w:t>Таблица 2.1. Коэффициенты для юридических лиц</w:t>
      </w:r>
    </w:p>
    <w:p w:rsidR="000E00C0" w:rsidRPr="00D817A7" w:rsidRDefault="000E00C0" w:rsidP="000E00C0">
      <w:pPr>
        <w:ind w:firstLine="567"/>
        <w:jc w:val="right"/>
        <w:rPr>
          <w:sz w:val="22"/>
          <w:szCs w:val="22"/>
        </w:rPr>
      </w:pPr>
      <w:r w:rsidRPr="00D817A7">
        <w:rPr>
          <w:sz w:val="22"/>
          <w:szCs w:val="22"/>
        </w:rPr>
        <w:t>(за исключением кредитных организаций и некредитных финансовых организаций)</w:t>
      </w:r>
    </w:p>
    <w:p w:rsidR="000E00C0" w:rsidRPr="00D817A7" w:rsidRDefault="000E00C0" w:rsidP="000E00C0">
      <w:pPr>
        <w:ind w:firstLine="567"/>
        <w:jc w:val="right"/>
        <w:rPr>
          <w:sz w:val="22"/>
          <w:szCs w:val="22"/>
        </w:rPr>
      </w:pP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822"/>
        <w:gridCol w:w="1606"/>
        <w:gridCol w:w="1606"/>
        <w:gridCol w:w="1606"/>
        <w:gridCol w:w="824"/>
        <w:gridCol w:w="1584"/>
      </w:tblGrid>
      <w:tr w:rsidR="000E00C0" w:rsidRPr="00EC149B" w:rsidTr="000E00C0">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12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Все отрасли</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Строительство</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Сдача в наем и купля продажа недвижимого имущества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r>
      <w:tr w:rsidR="000E00C0" w:rsidRPr="00EC149B" w:rsidTr="000E00C0">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w:t>
            </w:r>
          </w:p>
          <w:p w:rsidR="000E00C0" w:rsidRPr="00D817A7" w:rsidRDefault="000E00C0">
            <w:pPr>
              <w:jc w:val="center"/>
              <w:rPr>
                <w:rFonts w:eastAsia="MS Mincho"/>
                <w:sz w:val="22"/>
                <w:szCs w:val="22"/>
              </w:rPr>
            </w:pPr>
            <w:r w:rsidRPr="00D817A7">
              <w:rPr>
                <w:rFonts w:eastAsia="MS Mincho"/>
                <w:sz w:val="22"/>
                <w:szCs w:val="22"/>
              </w:rPr>
              <w:t>от 0,1 до 0,3</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0,07 до 0,12</w:t>
            </w:r>
          </w:p>
          <w:p w:rsidR="000E00C0" w:rsidRPr="00D817A7" w:rsidRDefault="000E00C0">
            <w:pPr>
              <w:jc w:val="center"/>
              <w:rPr>
                <w:rFonts w:eastAsia="MS Mincho"/>
                <w:sz w:val="22"/>
                <w:szCs w:val="22"/>
              </w:rPr>
            </w:pPr>
            <w:r w:rsidRPr="00D817A7">
              <w:rPr>
                <w:rFonts w:eastAsia="MS Mincho"/>
                <w:sz w:val="22"/>
                <w:szCs w:val="22"/>
              </w:rPr>
              <w:t>от 0 до 0,07</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0,37</w:t>
            </w:r>
          </w:p>
          <w:p w:rsidR="000E00C0" w:rsidRPr="00D817A7" w:rsidRDefault="000E00C0">
            <w:pPr>
              <w:jc w:val="center"/>
              <w:rPr>
                <w:rFonts w:eastAsia="MS Mincho"/>
                <w:sz w:val="22"/>
                <w:szCs w:val="22"/>
              </w:rPr>
            </w:pPr>
            <w:r w:rsidRPr="00D817A7">
              <w:rPr>
                <w:rFonts w:eastAsia="MS Mincho"/>
                <w:sz w:val="22"/>
                <w:szCs w:val="22"/>
              </w:rPr>
              <w:t>от 0,22 до 0,37</w:t>
            </w:r>
          </w:p>
          <w:p w:rsidR="000E00C0" w:rsidRPr="00D817A7" w:rsidRDefault="000E00C0">
            <w:pPr>
              <w:jc w:val="center"/>
              <w:rPr>
                <w:rFonts w:eastAsia="MS Mincho"/>
                <w:sz w:val="22"/>
                <w:szCs w:val="22"/>
              </w:rPr>
            </w:pPr>
            <w:r w:rsidRPr="00D817A7">
              <w:rPr>
                <w:rFonts w:eastAsia="MS Mincho"/>
                <w:sz w:val="22"/>
                <w:szCs w:val="22"/>
              </w:rPr>
              <w:t>от 0 до 0,22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обеспеченности собственными оборотными средствами</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0,2</w:t>
            </w:r>
          </w:p>
          <w:p w:rsidR="000E00C0" w:rsidRPr="00D817A7" w:rsidRDefault="000E00C0">
            <w:pPr>
              <w:jc w:val="center"/>
              <w:rPr>
                <w:rFonts w:eastAsia="MS Mincho"/>
                <w:sz w:val="22"/>
                <w:szCs w:val="22"/>
              </w:rPr>
            </w:pPr>
            <w:r w:rsidRPr="00D817A7">
              <w:rPr>
                <w:rFonts w:eastAsia="MS Mincho"/>
                <w:sz w:val="22"/>
                <w:szCs w:val="22"/>
              </w:rPr>
              <w:t>от 0 до 0,2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ликвидности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текущей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1,6</w:t>
            </w:r>
          </w:p>
          <w:p w:rsidR="000E00C0" w:rsidRPr="00D817A7" w:rsidRDefault="000E00C0">
            <w:pPr>
              <w:jc w:val="center"/>
              <w:rPr>
                <w:rFonts w:eastAsia="MS Mincho"/>
                <w:sz w:val="22"/>
                <w:szCs w:val="22"/>
              </w:rPr>
            </w:pPr>
            <w:r w:rsidRPr="00D817A7">
              <w:rPr>
                <w:rFonts w:eastAsia="MS Mincho"/>
                <w:sz w:val="22"/>
                <w:szCs w:val="22"/>
              </w:rPr>
              <w:t>от 1,0 до 1,6</w:t>
            </w:r>
          </w:p>
          <w:p w:rsidR="000E00C0" w:rsidRPr="00D817A7" w:rsidRDefault="000E00C0">
            <w:pPr>
              <w:jc w:val="center"/>
              <w:rPr>
                <w:rFonts w:eastAsia="MS Mincho"/>
                <w:sz w:val="22"/>
                <w:szCs w:val="22"/>
              </w:rPr>
            </w:pPr>
            <w:r w:rsidRPr="00D817A7">
              <w:rPr>
                <w:rFonts w:eastAsia="MS Mincho"/>
                <w:sz w:val="22"/>
                <w:szCs w:val="22"/>
              </w:rPr>
              <w:t>от 0 до 1,0</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lang w:val="en-US"/>
              </w:rPr>
            </w:pPr>
            <w:r w:rsidRPr="00D817A7">
              <w:rPr>
                <w:rFonts w:eastAsia="MS Mincho"/>
                <w:sz w:val="22"/>
                <w:szCs w:val="22"/>
              </w:rPr>
              <w:t>0,</w:t>
            </w:r>
            <w:r w:rsidRPr="00D817A7">
              <w:rPr>
                <w:rFonts w:eastAsia="MS Mincho"/>
                <w:sz w:val="22"/>
                <w:szCs w:val="22"/>
                <w:lang w:val="en-US"/>
              </w:rPr>
              <w:t>20</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срочной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0,5</w:t>
            </w:r>
          </w:p>
          <w:p w:rsidR="000E00C0" w:rsidRPr="00D817A7" w:rsidRDefault="000E00C0">
            <w:pPr>
              <w:jc w:val="center"/>
              <w:rPr>
                <w:rFonts w:eastAsia="MS Mincho"/>
                <w:sz w:val="22"/>
                <w:szCs w:val="22"/>
              </w:rPr>
            </w:pPr>
            <w:r w:rsidRPr="00D817A7">
              <w:rPr>
                <w:rFonts w:eastAsia="MS Mincho"/>
                <w:sz w:val="22"/>
                <w:szCs w:val="22"/>
              </w:rPr>
              <w:t>от 0,1 до 0,5</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рентабельности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продаж</w:t>
            </w:r>
          </w:p>
          <w:p w:rsidR="000E00C0" w:rsidRPr="00D817A7" w:rsidRDefault="000E00C0">
            <w:pPr>
              <w:rPr>
                <w:sz w:val="22"/>
                <w:szCs w:val="22"/>
              </w:rPr>
            </w:pPr>
            <w:r w:rsidRPr="00D817A7">
              <w:rPr>
                <w:sz w:val="22"/>
                <w:szCs w:val="22"/>
              </w:rPr>
              <w:t>(норма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w:t>
            </w:r>
            <w:r w:rsidRPr="00D817A7">
              <w:rPr>
                <w:rFonts w:eastAsia="MS Mincho"/>
                <w:sz w:val="22"/>
                <w:szCs w:val="22"/>
                <w:lang w:val="en-US"/>
              </w:rPr>
              <w:t>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реализации продукции (норма чистой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деловой активности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К7</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товарно-материальных запасов</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45</w:t>
            </w:r>
          </w:p>
          <w:p w:rsidR="000E00C0" w:rsidRPr="00D817A7" w:rsidRDefault="000E00C0">
            <w:pPr>
              <w:jc w:val="center"/>
              <w:rPr>
                <w:rFonts w:eastAsia="MS Mincho"/>
                <w:sz w:val="22"/>
                <w:szCs w:val="22"/>
              </w:rPr>
            </w:pPr>
            <w:r w:rsidRPr="00D817A7">
              <w:rPr>
                <w:rFonts w:eastAsia="MS Mincho"/>
                <w:sz w:val="22"/>
                <w:szCs w:val="22"/>
              </w:rPr>
              <w:t>от 20 до 45</w:t>
            </w:r>
          </w:p>
          <w:p w:rsidR="000E00C0" w:rsidRPr="00D817A7" w:rsidRDefault="000E00C0">
            <w:pPr>
              <w:jc w:val="center"/>
              <w:rPr>
                <w:rFonts w:eastAsia="MS Mincho"/>
                <w:sz w:val="22"/>
                <w:szCs w:val="22"/>
              </w:rPr>
            </w:pPr>
            <w:r w:rsidRPr="00D817A7">
              <w:rPr>
                <w:rFonts w:eastAsia="MS Mincho"/>
                <w:sz w:val="22"/>
                <w:szCs w:val="22"/>
              </w:rPr>
              <w:t>до 20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К8</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дебиторской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К9</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кредиторской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ind w:firstLine="567"/>
        <w:jc w:val="right"/>
        <w:rPr>
          <w:sz w:val="22"/>
          <w:szCs w:val="22"/>
        </w:rPr>
      </w:pPr>
      <w:r w:rsidRPr="00D817A7">
        <w:rPr>
          <w:sz w:val="22"/>
          <w:szCs w:val="22"/>
        </w:rPr>
        <w:t>Таблица 2.2. Коэффициенты для некредитных финансовых организаций (НФО)</w:t>
      </w:r>
    </w:p>
    <w:p w:rsidR="000E00C0" w:rsidRPr="00D817A7" w:rsidRDefault="000E00C0" w:rsidP="000E00C0">
      <w:pPr>
        <w:ind w:firstLine="567"/>
        <w:jc w:val="right"/>
        <w:rPr>
          <w:sz w:val="22"/>
          <w:szCs w:val="22"/>
        </w:rPr>
      </w:pPr>
    </w:p>
    <w:p w:rsidR="000E00C0" w:rsidRPr="00D817A7" w:rsidRDefault="000E00C0" w:rsidP="000E00C0">
      <w:pPr>
        <w:ind w:firstLine="567"/>
        <w:jc w:val="right"/>
        <w:rPr>
          <w:sz w:val="22"/>
          <w:szCs w:val="22"/>
        </w:rPr>
      </w:pPr>
    </w:p>
    <w:tbl>
      <w:tblPr>
        <w:tblpPr w:leftFromText="180" w:rightFromText="180" w:vertAnchor="text" w:horzAnchor="margin" w:tblpXSpec="center" w:tblpY="183"/>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493"/>
        <w:gridCol w:w="1774"/>
        <w:gridCol w:w="845"/>
        <w:gridCol w:w="1630"/>
      </w:tblGrid>
      <w:tr w:rsidR="000E00C0" w:rsidRPr="00EC149B" w:rsidTr="000E00C0">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0,1 до 0,15</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0,1 до 0,12</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lang w:val="en-US"/>
              </w:rPr>
            </w:pPr>
            <w:r w:rsidRPr="00D817A7">
              <w:rPr>
                <w:rFonts w:eastAsia="MS Mincho"/>
                <w:sz w:val="22"/>
                <w:szCs w:val="22"/>
              </w:rPr>
              <w:t>70</w:t>
            </w:r>
          </w:p>
          <w:p w:rsidR="000E00C0" w:rsidRPr="00D817A7" w:rsidRDefault="000E00C0">
            <w:pPr>
              <w:jc w:val="center"/>
              <w:rPr>
                <w:rFonts w:eastAsia="MS Mincho"/>
                <w:sz w:val="22"/>
                <w:szCs w:val="22"/>
                <w:lang w:val="en-US"/>
              </w:rPr>
            </w:pPr>
            <w:r w:rsidRPr="00D817A7">
              <w:rPr>
                <w:rFonts w:eastAsia="MS Mincho"/>
                <w:sz w:val="22"/>
                <w:szCs w:val="22"/>
                <w:lang w:val="en-US"/>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E00C0" w:rsidRPr="00D817A7" w:rsidRDefault="000E00C0">
            <w:pPr>
              <w:rPr>
                <w:rFonts w:eastAsia="MS Mincho"/>
                <w:sz w:val="22"/>
                <w:szCs w:val="22"/>
              </w:rPr>
            </w:pP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0,8</w:t>
            </w:r>
          </w:p>
          <w:p w:rsidR="000E00C0" w:rsidRPr="00D817A7" w:rsidRDefault="000E00C0">
            <w:pPr>
              <w:jc w:val="center"/>
              <w:rPr>
                <w:rFonts w:eastAsia="MS Mincho"/>
                <w:sz w:val="22"/>
                <w:szCs w:val="22"/>
              </w:rPr>
            </w:pPr>
            <w:r w:rsidRPr="00D817A7">
              <w:rPr>
                <w:rFonts w:eastAsia="MS Mincho"/>
                <w:sz w:val="22"/>
                <w:szCs w:val="22"/>
              </w:rPr>
              <w:t>от 0,5 до 0,8</w:t>
            </w:r>
          </w:p>
          <w:p w:rsidR="000E00C0" w:rsidRPr="00D817A7" w:rsidRDefault="000E00C0">
            <w:pPr>
              <w:jc w:val="center"/>
              <w:rPr>
                <w:rFonts w:eastAsia="MS Mincho"/>
                <w:sz w:val="22"/>
                <w:szCs w:val="22"/>
              </w:rPr>
            </w:pPr>
            <w:r w:rsidRPr="00D817A7">
              <w:rPr>
                <w:rFonts w:eastAsia="MS Mincho"/>
                <w:sz w:val="22"/>
                <w:szCs w:val="22"/>
              </w:rPr>
              <w:t>от 0,4 до 0,5</w:t>
            </w:r>
          </w:p>
          <w:p w:rsidR="000E00C0" w:rsidRPr="00D817A7" w:rsidRDefault="000E00C0">
            <w:pPr>
              <w:jc w:val="center"/>
              <w:rPr>
                <w:rFonts w:eastAsia="MS Mincho"/>
                <w:sz w:val="22"/>
                <w:szCs w:val="22"/>
              </w:rPr>
            </w:pPr>
            <w:r w:rsidRPr="00D817A7">
              <w:rPr>
                <w:rFonts w:eastAsia="MS Mincho"/>
                <w:sz w:val="22"/>
                <w:szCs w:val="22"/>
              </w:rPr>
              <w:t>менее 0,4</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30</w:t>
            </w:r>
          </w:p>
          <w:p w:rsidR="000E00C0" w:rsidRPr="00D817A7" w:rsidRDefault="000E00C0">
            <w:pPr>
              <w:jc w:val="center"/>
              <w:rPr>
                <w:rFonts w:eastAsia="MS Mincho"/>
                <w:sz w:val="22"/>
                <w:szCs w:val="22"/>
              </w:rPr>
            </w:pPr>
            <w:r w:rsidRPr="00D817A7">
              <w:rPr>
                <w:rFonts w:eastAsia="MS Mincho"/>
                <w:sz w:val="22"/>
                <w:szCs w:val="22"/>
              </w:rPr>
              <w:t>-10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lang w:val="en-US"/>
              </w:rPr>
            </w:pPr>
            <w:r w:rsidRPr="00D817A7">
              <w:rPr>
                <w:rFonts w:eastAsia="MS Mincho"/>
                <w:bCs/>
                <w:sz w:val="22"/>
                <w:szCs w:val="22"/>
              </w:rPr>
              <w:t>Показатели рентабельности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0,05</w:t>
            </w:r>
          </w:p>
          <w:p w:rsidR="000E00C0" w:rsidRPr="00D817A7" w:rsidRDefault="000E00C0">
            <w:pPr>
              <w:jc w:val="center"/>
              <w:rPr>
                <w:rFonts w:eastAsia="MS Mincho"/>
                <w:sz w:val="22"/>
                <w:szCs w:val="22"/>
              </w:rPr>
            </w:pPr>
            <w:r w:rsidRPr="00D817A7">
              <w:rPr>
                <w:rFonts w:eastAsia="MS Mincho"/>
                <w:sz w:val="22"/>
                <w:szCs w:val="22"/>
              </w:rPr>
              <w:t>от 0 до 0,05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,1</w:t>
            </w:r>
            <w:r w:rsidRPr="00D817A7">
              <w:rPr>
                <w:rFonts w:eastAsia="MS Mincho"/>
                <w:sz w:val="22"/>
                <w:szCs w:val="22"/>
                <w:lang w:val="en-US"/>
              </w:rPr>
              <w:t>5</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 до 0,15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Показатель долговой нагрузки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менее 0,4</w:t>
            </w:r>
          </w:p>
          <w:p w:rsidR="000E00C0" w:rsidRPr="00D817A7" w:rsidRDefault="000E00C0">
            <w:pPr>
              <w:jc w:val="center"/>
              <w:rPr>
                <w:rFonts w:eastAsia="MS Mincho"/>
                <w:sz w:val="22"/>
                <w:szCs w:val="22"/>
              </w:rPr>
            </w:pPr>
            <w:r w:rsidRPr="00D817A7">
              <w:rPr>
                <w:rFonts w:eastAsia="MS Mincho"/>
                <w:sz w:val="22"/>
                <w:szCs w:val="22"/>
              </w:rPr>
              <w:t>от 0,7 до 0,4</w:t>
            </w:r>
          </w:p>
          <w:p w:rsidR="000E00C0" w:rsidRPr="00D817A7" w:rsidRDefault="000E00C0">
            <w:pPr>
              <w:jc w:val="center"/>
              <w:rPr>
                <w:rFonts w:eastAsia="MS Mincho"/>
                <w:sz w:val="22"/>
                <w:szCs w:val="22"/>
              </w:rPr>
            </w:pPr>
            <w:r w:rsidRPr="00D817A7">
              <w:rPr>
                <w:rFonts w:eastAsia="MS Mincho"/>
                <w:sz w:val="22"/>
                <w:szCs w:val="22"/>
              </w:rPr>
              <w:t>более 0,7</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bl>
    <w:p w:rsidR="000E00C0" w:rsidRPr="00D817A7" w:rsidRDefault="000E00C0" w:rsidP="000E00C0">
      <w:pPr>
        <w:ind w:firstLine="567"/>
        <w:jc w:val="right"/>
        <w:rPr>
          <w:rFonts w:eastAsia="MS Mincho"/>
          <w:sz w:val="22"/>
          <w:szCs w:val="22"/>
        </w:rPr>
      </w:pPr>
    </w:p>
    <w:p w:rsidR="000E00C0" w:rsidRPr="00D817A7" w:rsidRDefault="000E00C0" w:rsidP="000E00C0">
      <w:pPr>
        <w:ind w:firstLine="567"/>
        <w:jc w:val="both"/>
        <w:rPr>
          <w:rFonts w:eastAsia="MS Mincho"/>
          <w:sz w:val="22"/>
          <w:szCs w:val="22"/>
        </w:rPr>
      </w:pPr>
    </w:p>
    <w:p w:rsidR="000E00C0" w:rsidRPr="00D817A7" w:rsidRDefault="000E00C0" w:rsidP="000E00C0">
      <w:pPr>
        <w:ind w:firstLine="567"/>
        <w:jc w:val="both"/>
        <w:rPr>
          <w:rFonts w:eastAsia="MS Mincho"/>
          <w:sz w:val="22"/>
          <w:szCs w:val="22"/>
        </w:rPr>
      </w:pPr>
      <w:r w:rsidRPr="00D817A7">
        <w:rPr>
          <w:rFonts w:eastAsia="MS Mincho"/>
          <w:sz w:val="22"/>
          <w:szCs w:val="22"/>
        </w:rPr>
        <w:t>В Таблицах 3.1 и 3.2 приведены принятые правила расчета коэффициентов из соответствующих Таблиц 2.1 и 2.2.</w:t>
      </w:r>
    </w:p>
    <w:p w:rsidR="000E00C0" w:rsidRPr="00D817A7" w:rsidRDefault="000E00C0" w:rsidP="000E00C0">
      <w:pPr>
        <w:ind w:firstLine="567"/>
        <w:jc w:val="right"/>
        <w:rPr>
          <w:sz w:val="22"/>
          <w:szCs w:val="22"/>
        </w:rPr>
      </w:pPr>
    </w:p>
    <w:p w:rsidR="000E00C0" w:rsidRPr="00D817A7" w:rsidRDefault="000E00C0" w:rsidP="000E00C0">
      <w:pPr>
        <w:keepLines/>
        <w:ind w:firstLine="567"/>
        <w:jc w:val="right"/>
        <w:rPr>
          <w:rFonts w:eastAsia="MS Mincho"/>
          <w:sz w:val="22"/>
          <w:szCs w:val="22"/>
        </w:rPr>
      </w:pPr>
      <w:r w:rsidRPr="00D817A7">
        <w:rPr>
          <w:sz w:val="22"/>
          <w:szCs w:val="22"/>
        </w:rPr>
        <w:t xml:space="preserve">Таблица 3.1 Правила расчёта коэффициентов </w:t>
      </w:r>
      <w:r w:rsidRPr="00D817A7">
        <w:rPr>
          <w:rFonts w:eastAsia="MS Mincho"/>
          <w:sz w:val="22"/>
          <w:szCs w:val="22"/>
        </w:rPr>
        <w:t>для юридических лиц</w:t>
      </w:r>
    </w:p>
    <w:p w:rsidR="000E00C0" w:rsidRPr="00D817A7" w:rsidRDefault="000E00C0" w:rsidP="000E00C0">
      <w:pPr>
        <w:keepLines/>
        <w:ind w:firstLine="567"/>
        <w:jc w:val="right"/>
        <w:rPr>
          <w:rFonts w:eastAsia="MS Mincho"/>
          <w:sz w:val="22"/>
          <w:szCs w:val="22"/>
        </w:rPr>
      </w:pPr>
      <w:r w:rsidRPr="00D817A7">
        <w:rPr>
          <w:rFonts w:eastAsia="MS Mincho"/>
          <w:sz w:val="22"/>
          <w:szCs w:val="22"/>
        </w:rPr>
        <w:t>(за исключением кредитных организаций и некредитных финансовых организаций)</w:t>
      </w: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929"/>
        <w:gridCol w:w="2984"/>
        <w:gridCol w:w="3889"/>
      </w:tblGrid>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Наименование</w:t>
            </w:r>
          </w:p>
          <w:p w:rsidR="000E00C0" w:rsidRPr="00D817A7" w:rsidRDefault="000E00C0">
            <w:pPr>
              <w:keepLines/>
              <w:jc w:val="center"/>
              <w:rPr>
                <w:rFonts w:eastAsia="MS Mincho"/>
                <w:bCs/>
                <w:sz w:val="22"/>
                <w:szCs w:val="22"/>
              </w:rPr>
            </w:pPr>
            <w:r w:rsidRPr="00D817A7">
              <w:rPr>
                <w:rFonts w:eastAsia="MS Mincho"/>
                <w:bCs/>
                <w:sz w:val="22"/>
                <w:szCs w:val="22"/>
              </w:rPr>
              <w:t>коэффициента</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pacing w:val="-3"/>
                <w:sz w:val="22"/>
                <w:szCs w:val="22"/>
              </w:rPr>
              <w:t>Формула расчета</w:t>
            </w:r>
          </w:p>
          <w:p w:rsidR="000E00C0" w:rsidRPr="00D817A7" w:rsidRDefault="000E00C0">
            <w:pPr>
              <w:keepLines/>
              <w:jc w:val="center"/>
              <w:rPr>
                <w:bCs/>
                <w:spacing w:val="-3"/>
                <w:sz w:val="22"/>
                <w:szCs w:val="22"/>
              </w:rPr>
            </w:pPr>
            <w:r w:rsidRPr="00D817A7">
              <w:rPr>
                <w:bCs/>
                <w:spacing w:val="-3"/>
                <w:sz w:val="22"/>
                <w:szCs w:val="22"/>
              </w:rPr>
              <w:t>(с использованием данных строк бухгалтерского баланса)</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jc w:val="center"/>
              <w:rPr>
                <w:bCs/>
                <w:spacing w:val="-3"/>
                <w:sz w:val="22"/>
                <w:szCs w:val="22"/>
              </w:rPr>
            </w:pPr>
            <w:r w:rsidRPr="00D817A7">
              <w:rPr>
                <w:bCs/>
                <w:spacing w:val="-3"/>
                <w:sz w:val="22"/>
                <w:szCs w:val="22"/>
              </w:rPr>
              <w:t>Примечания</w:t>
            </w:r>
          </w:p>
        </w:tc>
      </w:tr>
      <w:tr w:rsidR="000E00C0" w:rsidRPr="00EC149B" w:rsidTr="000E00C0">
        <w:trPr>
          <w:cantSplit/>
          <w:trHeight w:val="766"/>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К1</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финансовой независимости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К1 = (стр. 1300) / (стр.1700)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капитала и резервов организации к итогу баланса и характеризует независимость Заемщика от заемного капитала.</w:t>
            </w:r>
          </w:p>
        </w:tc>
      </w:tr>
      <w:tr w:rsidR="000E00C0" w:rsidRPr="00EC149B" w:rsidTr="000E00C0">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К2</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обеспеченности собственными оборотными средствами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К2 = (стр.1300–стр.1100) / (стр.1200)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разности по статьям: капиталы и резервы организации и внеоборотные активы к оборотным активам.</w:t>
            </w:r>
          </w:p>
        </w:tc>
      </w:tr>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i/>
                <w:iCs/>
                <w:sz w:val="22"/>
                <w:szCs w:val="22"/>
              </w:rPr>
              <w:t>К3</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bCs/>
                <w:sz w:val="22"/>
                <w:szCs w:val="22"/>
              </w:rPr>
            </w:pPr>
            <w:r w:rsidRPr="00D817A7">
              <w:rPr>
                <w:sz w:val="22"/>
                <w:szCs w:val="22"/>
              </w:rPr>
              <w:t>Коэффициент текущей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z w:val="22"/>
                <w:szCs w:val="22"/>
              </w:rPr>
              <w:t>К3 =(стр.1200 – просроченная дебиторская задолженность*) / (стр.1500)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rPr>
                <w:bCs/>
                <w:spacing w:val="-3"/>
                <w:sz w:val="22"/>
                <w:szCs w:val="22"/>
              </w:rPr>
            </w:pPr>
            <w:r w:rsidRPr="00D817A7">
              <w:rPr>
                <w:sz w:val="22"/>
                <w:szCs w:val="22"/>
              </w:rPr>
              <w:t>Отношение общей суммы оборотных активов к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К4</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срочной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К4= (стр.1230+стр.1240 +стр.1250- просроченная  дебиторская  задолженность*) /</w:t>
            </w:r>
          </w:p>
          <w:p w:rsidR="000E00C0" w:rsidRPr="00D817A7" w:rsidRDefault="000E00C0">
            <w:pPr>
              <w:keepLines/>
              <w:jc w:val="center"/>
              <w:rPr>
                <w:bCs/>
                <w:sz w:val="22"/>
                <w:szCs w:val="22"/>
              </w:rPr>
            </w:pPr>
            <w:r w:rsidRPr="00D817A7">
              <w:rPr>
                <w:bCs/>
                <w:sz w:val="22"/>
                <w:szCs w:val="22"/>
              </w:rPr>
              <w:t>(стр.1500 -стр.1530- стр.1540)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К5</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Рентабельность продаж</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u w:val="single"/>
              </w:rPr>
            </w:pPr>
            <w:r w:rsidRPr="00D817A7">
              <w:rPr>
                <w:bCs/>
                <w:sz w:val="22"/>
                <w:szCs w:val="22"/>
              </w:rPr>
              <w:t>К5 = стр. 2200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прибыли от продаж к выручке от продажи товаров, продукции, работ,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К6</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Рентабельность реализации продукции </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К6 = стр. 2400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чистой прибыли к выручке от продаж.</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К7</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товарно-материальных запасов</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 xml:space="preserve">К7 = </w:t>
            </w:r>
          </w:p>
          <w:p w:rsidR="000E00C0" w:rsidRPr="00D817A7" w:rsidRDefault="000E00C0">
            <w:pPr>
              <w:keepLines/>
              <w:jc w:val="center"/>
              <w:rPr>
                <w:rFonts w:eastAsia="MS Mincho"/>
                <w:sz w:val="22"/>
                <w:szCs w:val="22"/>
              </w:rPr>
            </w:pPr>
            <w:r w:rsidRPr="00D817A7">
              <w:rPr>
                <w:bCs/>
                <w:sz w:val="22"/>
                <w:szCs w:val="22"/>
              </w:rPr>
              <w:t xml:space="preserve">(стр. 1210  * </w:t>
            </w:r>
            <w:r w:rsidRPr="00D817A7">
              <w:rPr>
                <w:bCs/>
                <w:i/>
                <w:iCs/>
                <w:sz w:val="22"/>
                <w:szCs w:val="22"/>
              </w:rPr>
              <w:t xml:space="preserve">длительность периода  (в днях) / </w:t>
            </w:r>
            <w:r w:rsidRPr="00D817A7">
              <w:rPr>
                <w:bCs/>
                <w:sz w:val="22"/>
                <w:szCs w:val="22"/>
              </w:rPr>
              <w:t>стр. 2120**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величины запасов умноженной на длительность периода в днях к себестоимости проданных товаров, продукции,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К8</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Оборачиваемость дебиторской задолженности </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К8 = стр. 1230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сбыта продукции.</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К9</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кредиторской задолженности</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К9 = стр. 1520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выполнения обязательств в отношении поставщиков, бюджета, персонала.</w:t>
            </w:r>
          </w:p>
        </w:tc>
      </w:tr>
    </w:tbl>
    <w:p w:rsidR="000E00C0" w:rsidRPr="00D817A7" w:rsidRDefault="000E00C0" w:rsidP="000E00C0">
      <w:pPr>
        <w:keepLines/>
        <w:ind w:firstLine="567"/>
        <w:jc w:val="right"/>
        <w:rPr>
          <w:rFonts w:eastAsia="MS Mincho"/>
          <w:sz w:val="22"/>
          <w:szCs w:val="22"/>
        </w:rPr>
      </w:pPr>
    </w:p>
    <w:p w:rsidR="000E00C0" w:rsidRPr="00D817A7" w:rsidRDefault="000E00C0" w:rsidP="000E00C0">
      <w:pPr>
        <w:keepLines/>
        <w:tabs>
          <w:tab w:val="left" w:pos="0"/>
          <w:tab w:val="left" w:pos="720"/>
        </w:tabs>
        <w:ind w:right="-58"/>
        <w:jc w:val="both"/>
        <w:rPr>
          <w:i/>
          <w:iCs/>
          <w:sz w:val="22"/>
          <w:szCs w:val="22"/>
        </w:rPr>
      </w:pPr>
      <w:r w:rsidRPr="00D817A7">
        <w:rPr>
          <w:i/>
          <w:sz w:val="22"/>
          <w:szCs w:val="22"/>
        </w:rPr>
        <w:t>* При наличии информации о просроченной задолженности на момент анализа</w:t>
      </w:r>
    </w:p>
    <w:p w:rsidR="000E00C0" w:rsidRPr="00D817A7" w:rsidRDefault="000E00C0" w:rsidP="000E00C0">
      <w:pPr>
        <w:keepLines/>
        <w:tabs>
          <w:tab w:val="left" w:pos="0"/>
          <w:tab w:val="left" w:pos="720"/>
        </w:tabs>
        <w:ind w:right="-57"/>
        <w:jc w:val="both"/>
        <w:rPr>
          <w:i/>
          <w:iCs/>
          <w:sz w:val="22"/>
          <w:szCs w:val="22"/>
        </w:rPr>
      </w:pPr>
      <w:r w:rsidRPr="00D817A7">
        <w:rPr>
          <w:i/>
          <w:sz w:val="22"/>
          <w:szCs w:val="22"/>
        </w:rPr>
        <w:t>**</w:t>
      </w:r>
      <w:r w:rsidRPr="00D817A7">
        <w:rPr>
          <w:i/>
          <w:iCs/>
          <w:sz w:val="22"/>
          <w:szCs w:val="22"/>
        </w:rPr>
        <w:t xml:space="preserve"> В случае если стр. 2110 или 2120 равна 0 (Ноль), то данному коэффициенту присваивается наихудший балл из Таблицы 2.1 соответствующий данному коэффициенту.</w:t>
      </w:r>
    </w:p>
    <w:p w:rsidR="000E00C0" w:rsidRPr="00D817A7" w:rsidRDefault="000E00C0" w:rsidP="000E00C0">
      <w:pPr>
        <w:tabs>
          <w:tab w:val="left" w:pos="0"/>
          <w:tab w:val="left" w:pos="720"/>
        </w:tabs>
        <w:ind w:right="-57"/>
        <w:jc w:val="both"/>
        <w:rPr>
          <w:i/>
          <w:iCs/>
          <w:sz w:val="22"/>
          <w:szCs w:val="22"/>
        </w:rPr>
      </w:pPr>
    </w:p>
    <w:p w:rsidR="000E00C0" w:rsidRPr="00D817A7" w:rsidRDefault="000E00C0" w:rsidP="000E00C0">
      <w:pPr>
        <w:ind w:firstLine="567"/>
        <w:jc w:val="right"/>
        <w:rPr>
          <w:sz w:val="22"/>
          <w:szCs w:val="22"/>
        </w:rPr>
      </w:pPr>
      <w:r w:rsidRPr="00D817A7">
        <w:rPr>
          <w:rFonts w:eastAsia="MS Mincho"/>
          <w:sz w:val="22"/>
          <w:szCs w:val="22"/>
        </w:rPr>
        <w:t xml:space="preserve">Таблица 3.2. </w:t>
      </w:r>
      <w:r w:rsidRPr="00D817A7">
        <w:rPr>
          <w:sz w:val="22"/>
          <w:szCs w:val="22"/>
        </w:rPr>
        <w:t xml:space="preserve">Правила расчёта коэффициентов </w:t>
      </w:r>
    </w:p>
    <w:p w:rsidR="000E00C0" w:rsidRPr="00D817A7" w:rsidRDefault="000E00C0" w:rsidP="000E00C0">
      <w:pPr>
        <w:ind w:firstLine="567"/>
        <w:jc w:val="right"/>
        <w:rPr>
          <w:rFonts w:eastAsia="MS Mincho"/>
          <w:sz w:val="22"/>
          <w:szCs w:val="22"/>
        </w:rPr>
      </w:pPr>
      <w:r w:rsidRPr="00D817A7">
        <w:rPr>
          <w:rFonts w:eastAsia="MS Mincho"/>
          <w:sz w:val="22"/>
          <w:szCs w:val="22"/>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690"/>
        <w:gridCol w:w="4320"/>
        <w:gridCol w:w="2783"/>
      </w:tblGrid>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Формула расчета</w:t>
            </w:r>
          </w:p>
          <w:p w:rsidR="000E00C0" w:rsidRPr="00D817A7" w:rsidRDefault="000E00C0">
            <w:pPr>
              <w:jc w:val="center"/>
              <w:rPr>
                <w:bCs/>
                <w:spacing w:val="-3"/>
                <w:sz w:val="22"/>
                <w:szCs w:val="22"/>
              </w:rPr>
            </w:pPr>
            <w:r w:rsidRPr="00D817A7">
              <w:rPr>
                <w:bCs/>
                <w:spacing w:val="-3"/>
                <w:sz w:val="22"/>
                <w:szCs w:val="22"/>
              </w:rPr>
              <w:t xml:space="preserve">(с использованием данных строк </w:t>
            </w:r>
          </w:p>
          <w:p w:rsidR="000E00C0" w:rsidRPr="00D817A7" w:rsidRDefault="000E00C0">
            <w:pPr>
              <w:jc w:val="center"/>
              <w:rPr>
                <w:bCs/>
                <w:spacing w:val="-3"/>
                <w:sz w:val="22"/>
                <w:szCs w:val="22"/>
              </w:rPr>
            </w:pPr>
            <w:r w:rsidRPr="00D817A7">
              <w:rPr>
                <w:bCs/>
                <w:spacing w:val="-3"/>
                <w:sz w:val="22"/>
                <w:szCs w:val="22"/>
              </w:rPr>
              <w:t>используемой отчетности)</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sz w:val="22"/>
                <w:szCs w:val="22"/>
              </w:rPr>
              <w:t>Вид отчетности</w:t>
            </w:r>
          </w:p>
        </w:tc>
      </w:tr>
      <w:tr w:rsidR="000E00C0" w:rsidRPr="00EC149B" w:rsidTr="000E00C0">
        <w:trPr>
          <w:trHeight w:val="236"/>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К1</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both"/>
              <w:rPr>
                <w:bCs/>
                <w:sz w:val="22"/>
                <w:szCs w:val="22"/>
              </w:rPr>
            </w:pPr>
            <w:r w:rsidRPr="00D817A7">
              <w:rPr>
                <w:bCs/>
                <w:sz w:val="22"/>
                <w:szCs w:val="22"/>
              </w:rPr>
              <w:t>К1 = (</w:t>
            </w:r>
            <w:r w:rsidRPr="00D817A7">
              <w:rPr>
                <w:sz w:val="22"/>
                <w:szCs w:val="22"/>
              </w:rPr>
              <w:t xml:space="preserve">стр. 52) «Итого капитала» </w:t>
            </w:r>
            <w:r w:rsidRPr="00D817A7">
              <w:rPr>
                <w:bCs/>
                <w:sz w:val="22"/>
                <w:szCs w:val="22"/>
              </w:rPr>
              <w:t xml:space="preserve">/ </w:t>
            </w:r>
          </w:p>
          <w:p w:rsidR="000E00C0" w:rsidRPr="00D817A7" w:rsidRDefault="000E00C0">
            <w:pPr>
              <w:jc w:val="both"/>
              <w:rPr>
                <w:rFonts w:eastAsia="MS Mincho"/>
                <w:sz w:val="22"/>
                <w:szCs w:val="22"/>
              </w:rPr>
            </w:pPr>
            <w:r w:rsidRPr="00D817A7">
              <w:rPr>
                <w:sz w:val="22"/>
                <w:szCs w:val="22"/>
              </w:rPr>
              <w:t>(стр. 53) «Итого капитала и обязательств»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Бухгалтерский баланс НФО на отчётную дату</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К2</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К2 =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 </w:t>
            </w:r>
          </w:p>
          <w:p w:rsidR="000E00C0" w:rsidRPr="00D817A7" w:rsidRDefault="000E00C0">
            <w:pPr>
              <w:rPr>
                <w:bCs/>
                <w:sz w:val="22"/>
                <w:szCs w:val="22"/>
              </w:rPr>
            </w:pPr>
            <w:r w:rsidRPr="00D817A7">
              <w:rPr>
                <w:bCs/>
                <w:sz w:val="22"/>
                <w:szCs w:val="22"/>
              </w:rPr>
              <w:t xml:space="preserve">стр. «Расчет размера собственных средств профессионального участника рынка ценных бумаг - </w:t>
            </w:r>
            <w:r w:rsidRPr="00D817A7">
              <w:rPr>
                <w:sz w:val="22"/>
                <w:szCs w:val="22"/>
              </w:rPr>
              <w:t>Суммарная стоимость пассивов»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i/>
                <w:sz w:val="22"/>
                <w:szCs w:val="22"/>
              </w:rPr>
            </w:pPr>
            <w:r w:rsidRPr="00D817A7">
              <w:rPr>
                <w:i/>
                <w:sz w:val="22"/>
                <w:szCs w:val="22"/>
              </w:rPr>
              <w:t>К3</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r w:rsidRPr="00D817A7">
              <w:rPr>
                <w:bCs/>
                <w:sz w:val="22"/>
                <w:szCs w:val="22"/>
              </w:rPr>
              <w:t>К3 = стр. «Расчет размера собственных средств профессионального участника рынка ценных бумаг - Суммарная стоимость активов» / (стр.22) «Итого активов»</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p w:rsidR="000E00C0" w:rsidRPr="00D817A7" w:rsidRDefault="000E00C0">
            <w:pPr>
              <w:rPr>
                <w:bCs/>
                <w:sz w:val="22"/>
                <w:szCs w:val="22"/>
              </w:rPr>
            </w:pPr>
            <w:r w:rsidRPr="00D817A7">
              <w:rPr>
                <w:bCs/>
                <w:sz w:val="22"/>
                <w:szCs w:val="22"/>
              </w:rPr>
              <w:t>2. Бухгалтерский баланс НФО на отчётную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К4</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К4</w:t>
            </w:r>
            <w:r w:rsidRPr="00D817A7">
              <w:rPr>
                <w:bCs/>
                <w:sz w:val="22"/>
                <w:szCs w:val="22"/>
              </w:rPr>
              <w:t xml:space="preserve"> = (</w:t>
            </w:r>
            <w:r w:rsidRPr="00D817A7">
              <w:rPr>
                <w:sz w:val="22"/>
                <w:szCs w:val="22"/>
              </w:rPr>
              <w:t>(с</w:t>
            </w:r>
            <w:r w:rsidRPr="00D817A7">
              <w:rPr>
                <w:bCs/>
                <w:sz w:val="22"/>
                <w:szCs w:val="22"/>
              </w:rPr>
              <w:t>тр. 29) «Прибыль (убыток) после налогообложения / количество кварталов в  рассматриваемом периоде * 4 / (средняя сумма активов (стр. 22) «Итого активов»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rPr>
                <w:bCs/>
                <w:i/>
                <w:sz w:val="22"/>
                <w:szCs w:val="22"/>
              </w:rPr>
            </w:pPr>
            <w:r w:rsidRPr="00D817A7">
              <w:rPr>
                <w:sz w:val="22"/>
                <w:szCs w:val="22"/>
              </w:rPr>
              <w:t>2. Бухгалтерский баланс НФО на отчетную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К5</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К5</w:t>
            </w:r>
            <w:r w:rsidRPr="00D817A7">
              <w:rPr>
                <w:bCs/>
                <w:sz w:val="22"/>
                <w:szCs w:val="22"/>
              </w:rPr>
              <w:t xml:space="preserve"> = (</w:t>
            </w:r>
            <w:r w:rsidRPr="00D817A7">
              <w:rPr>
                <w:sz w:val="22"/>
                <w:szCs w:val="22"/>
              </w:rPr>
              <w:t>(с</w:t>
            </w:r>
            <w:r w:rsidRPr="00D817A7">
              <w:rPr>
                <w:bCs/>
                <w:sz w:val="22"/>
                <w:szCs w:val="22"/>
              </w:rPr>
              <w:t xml:space="preserve">тр. 29) </w:t>
            </w:r>
            <w:r w:rsidRPr="00D817A7">
              <w:rPr>
                <w:sz w:val="22"/>
                <w:szCs w:val="22"/>
              </w:rPr>
              <w:t>«</w:t>
            </w:r>
            <w:r w:rsidRPr="00D817A7">
              <w:rPr>
                <w:bCs/>
                <w:sz w:val="22"/>
                <w:szCs w:val="22"/>
              </w:rPr>
              <w:t xml:space="preserve">Прибыль (убыток) после налогообложения» / количество кварталов в рассматриваемом периоде * 4) / (средняя сумма по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w:t>
            </w:r>
            <w:r w:rsidRPr="00D817A7">
              <w:rPr>
                <w:bCs/>
                <w:sz w:val="22"/>
                <w:szCs w:val="22"/>
              </w:rPr>
              <w:t>на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jc w:val="both"/>
              <w:rPr>
                <w:sz w:val="22"/>
                <w:szCs w:val="22"/>
              </w:rPr>
            </w:pPr>
            <w:r w:rsidRPr="00D817A7">
              <w:rPr>
                <w:sz w:val="22"/>
                <w:szCs w:val="22"/>
              </w:rPr>
              <w:t>2. Бухгалтерский баланс НФО на отчетную дату</w:t>
            </w:r>
          </w:p>
          <w:p w:rsidR="000E00C0" w:rsidRPr="00D817A7" w:rsidRDefault="000E00C0">
            <w:pPr>
              <w:rPr>
                <w:bCs/>
                <w:i/>
                <w:sz w:val="22"/>
                <w:szCs w:val="22"/>
              </w:rPr>
            </w:pPr>
            <w:r w:rsidRPr="00D817A7">
              <w:rPr>
                <w:sz w:val="22"/>
                <w:szCs w:val="22"/>
              </w:rPr>
              <w:t>3.</w:t>
            </w:r>
            <w:r w:rsidRPr="00D817A7">
              <w:rPr>
                <w:bCs/>
                <w:sz w:val="22"/>
                <w:szCs w:val="22"/>
              </w:rPr>
              <w:t xml:space="preserve"> Расчет размера собственных средств профессионального участника рынка ценных бумаг</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К6</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К6 = </w:t>
            </w:r>
            <w:r w:rsidRPr="00D817A7">
              <w:rPr>
                <w:b/>
                <w:bCs/>
                <w:sz w:val="22"/>
                <w:szCs w:val="22"/>
              </w:rPr>
              <w:t>|</w:t>
            </w:r>
            <w:r w:rsidRPr="00D817A7">
              <w:rPr>
                <w:bCs/>
                <w:sz w:val="22"/>
                <w:szCs w:val="22"/>
              </w:rPr>
              <w:t>Расходы на обслуживание долга (статья ОПУ «Процентные расходы» (стр. 18))</w:t>
            </w:r>
            <w:r w:rsidRPr="00D817A7">
              <w:rPr>
                <w:b/>
                <w:bCs/>
                <w:sz w:val="22"/>
                <w:szCs w:val="22"/>
              </w:rPr>
              <w:t xml:space="preserve"> |</w:t>
            </w:r>
            <w:r w:rsidRPr="00D817A7">
              <w:rPr>
                <w:bCs/>
                <w:sz w:val="22"/>
                <w:szCs w:val="22"/>
              </w:rPr>
              <w:t xml:space="preserve"> / Чистый доход от операционной деятельности (статья ОПУ «Торговые и инвестиционные доходы» (стр. 1) + статья ОПУ «Выручка от оказания услуг и комиссионные доходы» (стр. 15))</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sz w:val="22"/>
                <w:szCs w:val="22"/>
              </w:rPr>
              <w:t>1. Отчёт о финансовых результатах НФО за текущий календарный год</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pStyle w:val="a3"/>
        <w:spacing w:after="0" w:line="360" w:lineRule="auto"/>
        <w:ind w:left="0" w:firstLine="709"/>
        <w:jc w:val="both"/>
        <w:rPr>
          <w:rFonts w:ascii="Times New Roman" w:eastAsia="MS Mincho" w:hAnsi="Times New Roman"/>
        </w:rPr>
      </w:pPr>
      <w:r w:rsidRPr="00D817A7">
        <w:rPr>
          <w:rFonts w:ascii="Times New Roman" w:eastAsia="MS Mincho" w:hAnsi="Times New Roman"/>
        </w:rPr>
        <w:t xml:space="preserve">Внутренний кредитный рейтинг контрагента определяется на основании расчётного коэффициента кредитоспособности (КК) контрагента </w:t>
      </w:r>
      <w:r w:rsidRPr="00D817A7">
        <w:rPr>
          <w:rFonts w:ascii="Times New Roman" w:hAnsi="Times New Roman"/>
        </w:rPr>
        <w:t>в соответствии с Таблицей 4.</w:t>
      </w:r>
    </w:p>
    <w:p w:rsidR="000E00C0" w:rsidRPr="00D817A7" w:rsidRDefault="000E00C0" w:rsidP="000E00C0">
      <w:pPr>
        <w:ind w:left="567" w:hanging="567"/>
        <w:jc w:val="right"/>
        <w:rPr>
          <w:sz w:val="22"/>
          <w:szCs w:val="22"/>
        </w:rPr>
      </w:pPr>
      <w:r w:rsidRPr="00D817A7">
        <w:rPr>
          <w:sz w:val="22"/>
          <w:szCs w:val="22"/>
        </w:rPr>
        <w:t xml:space="preserve">Таблица 4. Определение </w:t>
      </w:r>
      <w:r w:rsidRPr="00D817A7">
        <w:rPr>
          <w:rFonts w:eastAsia="MS Mincho"/>
          <w:sz w:val="22"/>
          <w:szCs w:val="22"/>
        </w:rPr>
        <w:t>внутренний кредитный рейтинг контрагента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0"/>
        <w:gridCol w:w="2189"/>
        <w:gridCol w:w="2960"/>
        <w:gridCol w:w="2151"/>
      </w:tblGrid>
      <w:tr w:rsidR="000E00C0" w:rsidRPr="00EC149B" w:rsidTr="000E00C0">
        <w:trPr>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Рейтинговая группа</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Внутренний кредитный рейтинг</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Коэффициент кредитоспособности контрагента (КК)</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Оценка кредитоспособности</w:t>
            </w:r>
          </w:p>
        </w:tc>
      </w:tr>
      <w:tr w:rsidR="000E00C0" w:rsidRPr="00EC149B" w:rsidTr="000E00C0">
        <w:trPr>
          <w:trHeight w:val="248"/>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1</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2</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3</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4</w:t>
            </w: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jc w:val="center"/>
              <w:rPr>
                <w:color w:val="000000"/>
                <w:sz w:val="22"/>
                <w:szCs w:val="22"/>
              </w:rPr>
            </w:pPr>
            <w:r w:rsidRPr="00D817A7">
              <w:rPr>
                <w:color w:val="000000"/>
                <w:sz w:val="22"/>
                <w:szCs w:val="22"/>
              </w:rPr>
              <w:t>ААА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100</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высокая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От 90 (вкл.) до 100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75 (вкл.) до 90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ВВВ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65 (вкл.) до 75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средняя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BВ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55 (вкл.) до 65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40 (вкл.) до 55(искл.)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25 (вкл.) до 40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низкая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15 (вкл.) до 25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 (вкл.) до 15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363"/>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firstLine="33"/>
              <w:jc w:val="center"/>
              <w:rPr>
                <w:color w:val="000000"/>
                <w:sz w:val="22"/>
                <w:szCs w:val="22"/>
              </w:rPr>
            </w:pPr>
            <w:r w:rsidRPr="00D817A7">
              <w:rPr>
                <w:color w:val="000000"/>
                <w:sz w:val="22"/>
                <w:szCs w:val="22"/>
              </w:rPr>
              <w:t>D</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меньше 5</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дефолт</w:t>
            </w:r>
          </w:p>
        </w:tc>
      </w:tr>
    </w:tbl>
    <w:p w:rsidR="000E00C0" w:rsidRPr="00D817A7" w:rsidRDefault="000E00C0" w:rsidP="000E00C0">
      <w:pPr>
        <w:pStyle w:val="a3"/>
        <w:keepLines/>
        <w:numPr>
          <w:ilvl w:val="0"/>
          <w:numId w:val="132"/>
        </w:numPr>
        <w:spacing w:before="120" w:after="120" w:line="360" w:lineRule="auto"/>
        <w:rPr>
          <w:rFonts w:ascii="Times New Roman" w:hAnsi="Times New Roman"/>
          <w:b/>
        </w:rPr>
      </w:pPr>
      <w:r w:rsidRPr="00D817A7">
        <w:rPr>
          <w:rFonts w:ascii="Times New Roman" w:hAnsi="Times New Roman"/>
          <w:b/>
        </w:rPr>
        <w:t>Порядок определения вероятности дефолта PD (контрагент – юридическое лицо)</w:t>
      </w:r>
    </w:p>
    <w:p w:rsidR="000E00C0" w:rsidRPr="006749DA" w:rsidRDefault="000E00C0" w:rsidP="000E00C0">
      <w:pPr>
        <w:keepLines/>
        <w:tabs>
          <w:tab w:val="left" w:pos="709"/>
        </w:tabs>
        <w:spacing w:line="360" w:lineRule="auto"/>
        <w:jc w:val="both"/>
        <w:rPr>
          <w:sz w:val="24"/>
          <w:szCs w:val="24"/>
        </w:rPr>
      </w:pPr>
      <w:r w:rsidRPr="006749DA">
        <w:rPr>
          <w:sz w:val="24"/>
          <w:szCs w:val="24"/>
        </w:rPr>
        <w:t>3.1. 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F013EC" w:rsidRPr="006749DA" w:rsidRDefault="000E00C0" w:rsidP="00F013EC">
      <w:pPr>
        <w:keepLines/>
        <w:tabs>
          <w:tab w:val="left" w:pos="709"/>
        </w:tabs>
        <w:spacing w:line="360" w:lineRule="auto"/>
        <w:jc w:val="both"/>
        <w:rPr>
          <w:sz w:val="24"/>
          <w:szCs w:val="24"/>
        </w:rPr>
      </w:pPr>
      <w:r w:rsidRPr="006749DA">
        <w:rPr>
          <w:sz w:val="24"/>
          <w:szCs w:val="24"/>
        </w:rPr>
        <w:t xml:space="preserve">3.2. </w:t>
      </w:r>
      <w:r w:rsidR="00F013EC" w:rsidRPr="006749DA">
        <w:rPr>
          <w:sz w:val="24"/>
          <w:szCs w:val="24"/>
        </w:rPr>
        <w:t xml:space="preserve">Данные о значениях PD используются на основании ежегодного публикуемого отчета S&amp;P «Default, Transition, </w:t>
      </w:r>
      <w:r w:rsidR="00F013EC">
        <w:rPr>
          <w:sz w:val="24"/>
          <w:szCs w:val="24"/>
        </w:rPr>
        <w:t>a</w:t>
      </w:r>
      <w:r w:rsidR="00F013EC" w:rsidRPr="006749DA">
        <w:rPr>
          <w:sz w:val="24"/>
          <w:szCs w:val="24"/>
        </w:rPr>
        <w:t>nd Recovery: 201</w:t>
      </w:r>
      <w:r w:rsidR="00F013EC">
        <w:rPr>
          <w:sz w:val="24"/>
          <w:szCs w:val="24"/>
        </w:rPr>
        <w:t>9</w:t>
      </w:r>
      <w:r w:rsidR="00F013EC" w:rsidRPr="006749DA">
        <w:rPr>
          <w:sz w:val="24"/>
          <w:szCs w:val="24"/>
        </w:rPr>
        <w:t xml:space="preserve"> Annual Global Corporate Default And Rating Transition</w:t>
      </w:r>
      <w:r w:rsidR="00F013EC" w:rsidRPr="005E6A92">
        <w:rPr>
          <w:sz w:val="24"/>
          <w:szCs w:val="24"/>
        </w:rPr>
        <w:t xml:space="preserve"> </w:t>
      </w:r>
      <w:r w:rsidR="00F013EC" w:rsidRPr="006749DA">
        <w:rPr>
          <w:sz w:val="24"/>
          <w:szCs w:val="24"/>
        </w:rPr>
        <w:t xml:space="preserve">Study» Таблица 26. </w:t>
      </w:r>
      <w:r w:rsidR="00F013EC" w:rsidRPr="00856389">
        <w:rPr>
          <w:sz w:val="24"/>
          <w:szCs w:val="24"/>
          <w:lang w:val="en-US"/>
        </w:rPr>
        <w:t xml:space="preserve">«Global Corporate Average Cumulative Default Rates By Rating Modifier» </w:t>
      </w:r>
      <w:r w:rsidR="00F013EC" w:rsidRPr="006749DA">
        <w:rPr>
          <w:sz w:val="24"/>
          <w:szCs w:val="24"/>
        </w:rPr>
        <w:t>с</w:t>
      </w:r>
      <w:r w:rsidR="00F013EC" w:rsidRPr="00856389">
        <w:rPr>
          <w:sz w:val="24"/>
          <w:szCs w:val="24"/>
          <w:lang w:val="en-US"/>
        </w:rPr>
        <w:t xml:space="preserve"> </w:t>
      </w:r>
      <w:r w:rsidR="00F013EC" w:rsidRPr="006749DA">
        <w:rPr>
          <w:sz w:val="24"/>
          <w:szCs w:val="24"/>
        </w:rPr>
        <w:t>учётом</w:t>
      </w:r>
      <w:r w:rsidR="00F013EC" w:rsidRPr="00856389">
        <w:rPr>
          <w:sz w:val="24"/>
          <w:szCs w:val="24"/>
          <w:lang w:val="en-US"/>
        </w:rPr>
        <w:t xml:space="preserve"> </w:t>
      </w:r>
      <w:r w:rsidR="00F013EC" w:rsidRPr="006749DA">
        <w:rPr>
          <w:sz w:val="24"/>
          <w:szCs w:val="24"/>
        </w:rPr>
        <w:t>последующих</w:t>
      </w:r>
      <w:r w:rsidR="00F013EC" w:rsidRPr="00856389">
        <w:rPr>
          <w:sz w:val="24"/>
          <w:szCs w:val="24"/>
          <w:lang w:val="en-US"/>
        </w:rPr>
        <w:t xml:space="preserve"> </w:t>
      </w:r>
      <w:r w:rsidR="00F013EC" w:rsidRPr="006749DA">
        <w:rPr>
          <w:sz w:val="24"/>
          <w:szCs w:val="24"/>
        </w:rPr>
        <w:t>ежегодных</w:t>
      </w:r>
      <w:r w:rsidR="00F013EC" w:rsidRPr="00856389">
        <w:rPr>
          <w:sz w:val="24"/>
          <w:szCs w:val="24"/>
          <w:lang w:val="en-US"/>
        </w:rPr>
        <w:t xml:space="preserve"> </w:t>
      </w:r>
      <w:r w:rsidR="00F013EC" w:rsidRPr="006749DA">
        <w:rPr>
          <w:sz w:val="24"/>
          <w:szCs w:val="24"/>
        </w:rPr>
        <w:t>обновлений</w:t>
      </w:r>
      <w:r w:rsidR="00F013EC" w:rsidRPr="00856389">
        <w:rPr>
          <w:sz w:val="24"/>
          <w:szCs w:val="24"/>
          <w:lang w:val="en-US"/>
        </w:rPr>
        <w:t xml:space="preserve">. </w:t>
      </w:r>
      <w:r w:rsidR="00F013EC" w:rsidRPr="006749DA">
        <w:rPr>
          <w:sz w:val="24"/>
          <w:szCs w:val="24"/>
        </w:rPr>
        <w:t>Для оценки PD</w:t>
      </w:r>
      <w:r w:rsidR="00F013EC" w:rsidRPr="006749DA" w:rsidDel="00215638">
        <w:rPr>
          <w:sz w:val="24"/>
          <w:szCs w:val="24"/>
        </w:rPr>
        <w:t xml:space="preserve"> </w:t>
      </w:r>
      <w:r w:rsidR="00F013EC" w:rsidRPr="006749DA">
        <w:rPr>
          <w:sz w:val="24"/>
          <w:szCs w:val="24"/>
        </w:rPr>
        <w:t xml:space="preserve">для каждого контрагента определяется годовая вероятность дефолта в зависимости от его кредитного рейтинга по шкале S&amp;P. Если рейтинг контрагенту присвоен иным рейтинговым агентством, то определяется соответствующий ему рейтинг по шкале S&amp;P. В Таблице 5 приведена шкала соответствия внешних/внутренних кредитных рейтингов и вероятности дефолта PD. </w:t>
      </w:r>
    </w:p>
    <w:p w:rsidR="00F013EC" w:rsidRPr="000378EC" w:rsidRDefault="00F013EC" w:rsidP="00F013EC">
      <w:pPr>
        <w:pStyle w:val="a3"/>
        <w:keepNext/>
        <w:spacing w:after="0" w:line="360" w:lineRule="auto"/>
        <w:ind w:left="0"/>
        <w:jc w:val="right"/>
        <w:rPr>
          <w:rFonts w:ascii="Arial" w:eastAsia="MS Mincho" w:hAnsi="Arial" w:cs="Arial"/>
          <w:sz w:val="20"/>
          <w:szCs w:val="20"/>
        </w:rPr>
      </w:pPr>
      <w:r w:rsidRPr="000378EC">
        <w:rPr>
          <w:rFonts w:ascii="Arial" w:hAnsi="Arial" w:cs="Arial"/>
          <w:sz w:val="20"/>
          <w:szCs w:val="20"/>
        </w:rPr>
        <w:t xml:space="preserve">Таблица 5. Определение </w:t>
      </w:r>
      <w:r w:rsidRPr="000378EC">
        <w:rPr>
          <w:rFonts w:ascii="Arial" w:eastAsia="MS Mincho" w:hAnsi="Arial" w:cs="Arial"/>
          <w:sz w:val="20"/>
          <w:szCs w:val="20"/>
        </w:rPr>
        <w:t>вероятности дефолта контрагента</w:t>
      </w:r>
    </w:p>
    <w:p w:rsidR="00F013EC" w:rsidRPr="000378EC" w:rsidRDefault="00F013EC" w:rsidP="00F013EC">
      <w:pPr>
        <w:pStyle w:val="a3"/>
        <w:spacing w:after="0" w:line="360" w:lineRule="auto"/>
        <w:ind w:left="0"/>
        <w:jc w:val="right"/>
        <w:rPr>
          <w:rFonts w:ascii="Arial" w:hAnsi="Arial" w:cs="Arial"/>
          <w:sz w:val="20"/>
          <w:szCs w:val="20"/>
        </w:rPr>
      </w:pPr>
      <w:r w:rsidRPr="000378EC">
        <w:rPr>
          <w:rFonts w:ascii="Arial" w:eastAsia="MS Mincho" w:hAnsi="Arial" w:cs="Arial"/>
          <w:sz w:val="20"/>
          <w:szCs w:val="20"/>
        </w:rPr>
        <w:t xml:space="preserve">в зависимости от его кредитного рейтинга </w:t>
      </w:r>
    </w:p>
    <w:tbl>
      <w:tblPr>
        <w:tblW w:w="5000" w:type="pct"/>
        <w:tblLook w:val="04A0" w:firstRow="1" w:lastRow="0" w:firstColumn="1" w:lastColumn="0" w:noHBand="0" w:noVBand="1"/>
      </w:tblPr>
      <w:tblGrid>
        <w:gridCol w:w="1397"/>
        <w:gridCol w:w="923"/>
        <w:gridCol w:w="983"/>
        <w:gridCol w:w="863"/>
        <w:gridCol w:w="1185"/>
        <w:gridCol w:w="1442"/>
        <w:gridCol w:w="1319"/>
        <w:gridCol w:w="1401"/>
      </w:tblGrid>
      <w:tr w:rsidR="00F013EC" w:rsidRPr="000378EC" w:rsidTr="00073D96">
        <w:trPr>
          <w:trHeight w:val="383"/>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w:t>
            </w:r>
          </w:p>
        </w:tc>
        <w:tc>
          <w:tcPr>
            <w:tcW w:w="3109" w:type="pct"/>
            <w:gridSpan w:val="5"/>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Рейтинги кредитных рейтинговых агентств</w:t>
            </w:r>
          </w:p>
        </w:tc>
        <w:tc>
          <w:tcPr>
            <w:tcW w:w="608"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Внутренний кредитный рейтинг</w:t>
            </w:r>
          </w:p>
        </w:tc>
        <w:tc>
          <w:tcPr>
            <w:tcW w:w="617"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Вероятность дефолта PD</w:t>
            </w:r>
            <w:r w:rsidRPr="000378EC">
              <w:rPr>
                <w:rStyle w:val="ad"/>
                <w:rFonts w:ascii="Arial" w:hAnsi="Arial" w:cs="Arial"/>
                <w:sz w:val="20"/>
                <w:szCs w:val="20"/>
              </w:rPr>
              <w:footnoteReference w:id="3"/>
            </w:r>
            <w:r w:rsidRPr="000378EC">
              <w:rPr>
                <w:rFonts w:ascii="Arial" w:hAnsi="Arial" w:cs="Arial"/>
                <w:sz w:val="20"/>
                <w:szCs w:val="20"/>
              </w:rPr>
              <w:t xml:space="preserve"> по шкале S&amp;P, %</w:t>
            </w:r>
          </w:p>
        </w:tc>
      </w:tr>
      <w:tr w:rsidR="00F013EC" w:rsidRPr="000378EC" w:rsidTr="00073D96">
        <w:trPr>
          <w:trHeight w:val="233"/>
        </w:trPr>
        <w:tc>
          <w:tcPr>
            <w:tcW w:w="666" w:type="pct"/>
            <w:vMerge/>
            <w:tcBorders>
              <w:left w:val="single" w:sz="4" w:space="0" w:color="auto"/>
              <w:bottom w:val="single" w:sz="4" w:space="0" w:color="auto"/>
              <w:right w:val="single" w:sz="4" w:space="0" w:color="auto"/>
            </w:tcBorders>
          </w:tcPr>
          <w:p w:rsidR="00F013EC" w:rsidRPr="000378EC" w:rsidRDefault="00F013EC" w:rsidP="00073D96">
            <w:pPr>
              <w:spacing w:line="360" w:lineRule="auto"/>
              <w:rPr>
                <w:rFonts w:ascii="Arial" w:hAnsi="Arial" w:cs="Arial"/>
                <w:color w:val="00000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bCs/>
                <w:sz w:val="20"/>
                <w:szCs w:val="20"/>
              </w:rPr>
              <w:t>S&amp;P</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bCs/>
                <w:sz w:val="20"/>
                <w:szCs w:val="20"/>
              </w:rPr>
              <w:t>Moody`s</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bCs/>
                <w:sz w:val="20"/>
                <w:szCs w:val="20"/>
              </w:rPr>
              <w:t>Fitch</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Эксперт РА</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АКРА</w:t>
            </w:r>
          </w:p>
        </w:tc>
        <w:tc>
          <w:tcPr>
            <w:tcW w:w="608"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617"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r>
      <w:tr w:rsidR="00F013EC" w:rsidRPr="000378EC" w:rsidTr="00073D96">
        <w:trPr>
          <w:trHeight w:val="231"/>
        </w:trPr>
        <w:tc>
          <w:tcPr>
            <w:tcW w:w="666" w:type="pct"/>
            <w:tcBorders>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2</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4</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5</w:t>
            </w: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6</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7</w:t>
            </w:r>
          </w:p>
        </w:tc>
        <w:tc>
          <w:tcPr>
            <w:tcW w:w="617" w:type="pct"/>
            <w:tcBorders>
              <w:top w:val="single" w:sz="4" w:space="0" w:color="auto"/>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8</w:t>
            </w:r>
          </w:p>
        </w:tc>
      </w:tr>
      <w:tr w:rsidR="00F013EC" w:rsidRPr="000378EC" w:rsidTr="00073D96">
        <w:trPr>
          <w:trHeight w:val="271"/>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Aa2</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0,02</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0,03</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0,05</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w:t>
            </w:r>
            <w:r>
              <w:rPr>
                <w:rFonts w:ascii="Arial" w:hAnsi="Arial" w:cs="Arial"/>
                <w:sz w:val="20"/>
                <w:szCs w:val="20"/>
              </w:rPr>
              <w:t>5</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0,10</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BaaЗВ2</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0,16</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Baa3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ruAAA</w:t>
            </w: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AAA (RU)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0,2</w:t>
            </w:r>
            <w:r>
              <w:rPr>
                <w:rFonts w:ascii="Arial" w:hAnsi="Arial" w:cs="Arial"/>
                <w:sz w:val="20"/>
                <w:szCs w:val="20"/>
              </w:rPr>
              <w:t>5</w:t>
            </w:r>
          </w:p>
        </w:tc>
      </w:tr>
      <w:tr w:rsidR="00F013EC" w:rsidRPr="000378EC" w:rsidTr="00073D96">
        <w:trPr>
          <w:trHeight w:val="247"/>
        </w:trPr>
        <w:tc>
          <w:tcPr>
            <w:tcW w:w="666" w:type="pct"/>
            <w:vMerge/>
            <w:tcBorders>
              <w:left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Ba1</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ruAA+,</w:t>
            </w:r>
            <w:r w:rsidRPr="000378EC">
              <w:rPr>
                <w:rFonts w:ascii="Arial" w:hAnsi="Arial" w:cs="Arial"/>
                <w:sz w:val="20"/>
                <w:szCs w:val="20"/>
              </w:rPr>
              <w:br/>
              <w:t>ruAA</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AA+(RU), AA(RU)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ААА</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0,3</w:t>
            </w:r>
            <w:r>
              <w:rPr>
                <w:rFonts w:ascii="Arial" w:hAnsi="Arial" w:cs="Arial"/>
                <w:sz w:val="20"/>
                <w:szCs w:val="20"/>
              </w:rPr>
              <w:t>1</w:t>
            </w:r>
          </w:p>
        </w:tc>
      </w:tr>
      <w:tr w:rsidR="00F013EC" w:rsidRPr="000378EC" w:rsidTr="00073D96">
        <w:trPr>
          <w:trHeight w:val="247"/>
        </w:trPr>
        <w:tc>
          <w:tcPr>
            <w:tcW w:w="666" w:type="pct"/>
            <w:vMerge/>
            <w:tcBorders>
              <w:left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Ba2</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 xml:space="preserve">ruAA-, </w:t>
            </w:r>
            <w:r w:rsidRPr="000378EC">
              <w:rPr>
                <w:rFonts w:ascii="Arial" w:hAnsi="Arial" w:cs="Arial"/>
                <w:sz w:val="20"/>
                <w:szCs w:val="20"/>
              </w:rPr>
              <w:b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AA-(RU), A+(RU)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АА</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0,5</w:t>
            </w:r>
            <w:r>
              <w:rPr>
                <w:rFonts w:ascii="Arial" w:hAnsi="Arial" w:cs="Arial"/>
                <w:sz w:val="20"/>
                <w:szCs w:val="20"/>
              </w:rPr>
              <w:t>1</w:t>
            </w:r>
          </w:p>
        </w:tc>
      </w:tr>
      <w:tr w:rsidR="00F013EC" w:rsidRPr="000378EC" w:rsidTr="00073D96">
        <w:trPr>
          <w:trHeight w:val="247"/>
        </w:trPr>
        <w:tc>
          <w:tcPr>
            <w:tcW w:w="666"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Ba3</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ruA,</w:t>
            </w:r>
          </w:p>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А(RU),</w:t>
            </w:r>
            <w:r w:rsidRPr="000378EC">
              <w:rPr>
                <w:rFonts w:ascii="Arial" w:hAnsi="Arial" w:cs="Arial"/>
                <w:sz w:val="20"/>
                <w:szCs w:val="20"/>
              </w:rPr>
              <w:br/>
              <w:t>A-(RU)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А</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0,9</w:t>
            </w:r>
            <w:r>
              <w:rPr>
                <w:rFonts w:ascii="Arial" w:hAnsi="Arial" w:cs="Arial"/>
                <w:sz w:val="20"/>
                <w:szCs w:val="20"/>
              </w:rPr>
              <w:t>1</w:t>
            </w:r>
          </w:p>
        </w:tc>
      </w:tr>
      <w:tr w:rsidR="00F013EC" w:rsidRPr="000378EC" w:rsidTr="00073D96">
        <w:trPr>
          <w:trHeight w:val="247"/>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B1</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ruBBB+, ruBBB</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 xml:space="preserve">BBB+(RU), </w:t>
            </w:r>
            <w:r w:rsidRPr="000378EC">
              <w:rPr>
                <w:rFonts w:ascii="Arial" w:hAnsi="Arial" w:cs="Arial"/>
                <w:sz w:val="20"/>
                <w:szCs w:val="20"/>
              </w:rPr>
              <w:br/>
              <w:t>BBB (RU)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ВВВ</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Pr>
                <w:rFonts w:ascii="Arial" w:hAnsi="Arial" w:cs="Arial"/>
                <w:sz w:val="20"/>
                <w:szCs w:val="20"/>
              </w:rPr>
              <w:t>1</w:t>
            </w:r>
            <w:r w:rsidRPr="000378EC">
              <w:rPr>
                <w:rFonts w:ascii="Arial" w:hAnsi="Arial" w:cs="Arial"/>
                <w:sz w:val="20"/>
                <w:szCs w:val="20"/>
              </w:rPr>
              <w:t>,</w:t>
            </w:r>
            <w:r>
              <w:rPr>
                <w:rFonts w:ascii="Arial" w:hAnsi="Arial" w:cs="Arial"/>
                <w:sz w:val="20"/>
                <w:szCs w:val="20"/>
              </w:rPr>
              <w:t>98</w:t>
            </w:r>
          </w:p>
        </w:tc>
      </w:tr>
      <w:tr w:rsidR="00F013EC" w:rsidRPr="000378EC" w:rsidTr="00073D96">
        <w:trPr>
          <w:trHeight w:val="247"/>
        </w:trPr>
        <w:tc>
          <w:tcPr>
            <w:tcW w:w="666" w:type="pct"/>
            <w:vMerge/>
            <w:tcBorders>
              <w:left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B2</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ruBBB-, 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BBB-(RU), BB+(RU)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BВ</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3,</w:t>
            </w:r>
            <w:r>
              <w:rPr>
                <w:rFonts w:ascii="Arial" w:hAnsi="Arial" w:cs="Arial"/>
                <w:sz w:val="20"/>
                <w:szCs w:val="20"/>
              </w:rPr>
              <w:t>20</w:t>
            </w:r>
          </w:p>
        </w:tc>
      </w:tr>
      <w:tr w:rsidR="00F013EC" w:rsidRPr="000378EC" w:rsidTr="00073D96">
        <w:trPr>
          <w:trHeight w:val="355"/>
        </w:trPr>
        <w:tc>
          <w:tcPr>
            <w:tcW w:w="666"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B3</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В</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6,</w:t>
            </w:r>
            <w:r>
              <w:rPr>
                <w:rFonts w:ascii="Arial" w:hAnsi="Arial" w:cs="Arial"/>
                <w:sz w:val="20"/>
                <w:szCs w:val="20"/>
              </w:rPr>
              <w:t>49</w:t>
            </w:r>
          </w:p>
        </w:tc>
      </w:tr>
      <w:tr w:rsidR="00F013EC" w:rsidRPr="000378EC" w:rsidTr="00073D96">
        <w:trPr>
          <w:trHeight w:val="247"/>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III</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Caa-C</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ruBB- и ниже</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BB-(RU) и ниже</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ССС</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2</w:t>
            </w:r>
            <w:r>
              <w:rPr>
                <w:rFonts w:ascii="Arial" w:hAnsi="Arial" w:cs="Arial"/>
                <w:sz w:val="20"/>
                <w:szCs w:val="20"/>
              </w:rPr>
              <w:t>7</w:t>
            </w:r>
            <w:r w:rsidRPr="000378EC">
              <w:rPr>
                <w:rFonts w:ascii="Arial" w:hAnsi="Arial" w:cs="Arial"/>
                <w:sz w:val="20"/>
                <w:szCs w:val="20"/>
              </w:rPr>
              <w:t>,</w:t>
            </w:r>
            <w:r>
              <w:rPr>
                <w:rFonts w:ascii="Arial" w:hAnsi="Arial" w:cs="Arial"/>
                <w:sz w:val="20"/>
                <w:szCs w:val="20"/>
              </w:rPr>
              <w:t>08</w:t>
            </w:r>
          </w:p>
        </w:tc>
      </w:tr>
      <w:tr w:rsidR="00F013EC" w:rsidRPr="000378EC" w:rsidTr="00073D96">
        <w:trPr>
          <w:trHeight w:val="247"/>
        </w:trPr>
        <w:tc>
          <w:tcPr>
            <w:tcW w:w="666" w:type="pct"/>
            <w:vMerge/>
            <w:tcBorders>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СС</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D817A7" w:rsidRDefault="00F013EC" w:rsidP="00073D96">
            <w:pPr>
              <w:pStyle w:val="Default"/>
              <w:spacing w:line="360" w:lineRule="auto"/>
              <w:jc w:val="center"/>
              <w:rPr>
                <w:rFonts w:ascii="Arial" w:hAnsi="Arial" w:cs="Arial"/>
              </w:rPr>
            </w:pPr>
            <w:r w:rsidRPr="00D817A7">
              <w:rPr>
                <w:rFonts w:ascii="Arial" w:hAnsi="Arial" w:cs="Arial"/>
                <w:sz w:val="20"/>
                <w:szCs w:val="20"/>
              </w:rPr>
              <w:t>50</w:t>
            </w:r>
          </w:p>
        </w:tc>
      </w:tr>
      <w:tr w:rsidR="00F013EC" w:rsidRPr="000378EC" w:rsidTr="00073D96">
        <w:trPr>
          <w:trHeight w:val="247"/>
        </w:trPr>
        <w:tc>
          <w:tcPr>
            <w:tcW w:w="666" w:type="pct"/>
            <w:vMerge/>
            <w:tcBorders>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С</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D817A7" w:rsidRDefault="00F013EC" w:rsidP="00073D96">
            <w:pPr>
              <w:pStyle w:val="Default"/>
              <w:spacing w:line="360" w:lineRule="auto"/>
              <w:jc w:val="center"/>
              <w:rPr>
                <w:rFonts w:ascii="Arial" w:hAnsi="Arial" w:cs="Arial"/>
              </w:rPr>
            </w:pPr>
            <w:r w:rsidRPr="00D817A7">
              <w:rPr>
                <w:rFonts w:ascii="Arial" w:hAnsi="Arial" w:cs="Arial"/>
                <w:sz w:val="20"/>
                <w:szCs w:val="20"/>
              </w:rPr>
              <w:t>75</w:t>
            </w:r>
          </w:p>
        </w:tc>
      </w:tr>
      <w:tr w:rsidR="00F013EC" w:rsidRPr="000378EC" w:rsidTr="00073D96">
        <w:trPr>
          <w:trHeight w:val="117"/>
        </w:trPr>
        <w:tc>
          <w:tcPr>
            <w:tcW w:w="666" w:type="pct"/>
            <w:tcBorders>
              <w:top w:val="single" w:sz="4" w:space="0" w:color="auto"/>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IV</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ruD</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D</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D817A7" w:rsidRDefault="00F013EC" w:rsidP="00073D96">
            <w:pPr>
              <w:pStyle w:val="Default"/>
              <w:spacing w:line="360" w:lineRule="auto"/>
              <w:jc w:val="center"/>
              <w:rPr>
                <w:rFonts w:ascii="Arial" w:hAnsi="Arial" w:cs="Arial"/>
                <w:sz w:val="20"/>
                <w:szCs w:val="20"/>
              </w:rPr>
            </w:pPr>
            <w:r w:rsidRPr="00D817A7">
              <w:rPr>
                <w:rFonts w:ascii="Arial" w:hAnsi="Arial" w:cs="Arial"/>
                <w:sz w:val="20"/>
                <w:szCs w:val="20"/>
              </w:rPr>
              <w:t>100</w:t>
            </w:r>
          </w:p>
        </w:tc>
      </w:tr>
    </w:tbl>
    <w:p w:rsidR="00F013EC" w:rsidRPr="00D817A7" w:rsidRDefault="00F013EC" w:rsidP="00F013EC">
      <w:pPr>
        <w:keepLines/>
        <w:tabs>
          <w:tab w:val="left" w:pos="709"/>
        </w:tabs>
        <w:spacing w:line="360" w:lineRule="auto"/>
        <w:jc w:val="both"/>
        <w:rPr>
          <w:sz w:val="22"/>
          <w:szCs w:val="22"/>
        </w:rPr>
      </w:pPr>
    </w:p>
    <w:p w:rsidR="000E00C0" w:rsidRPr="00D817A7" w:rsidRDefault="000E00C0" w:rsidP="00F013EC">
      <w:pPr>
        <w:keepLines/>
        <w:tabs>
          <w:tab w:val="left" w:pos="709"/>
        </w:tabs>
        <w:spacing w:line="360" w:lineRule="auto"/>
        <w:jc w:val="both"/>
        <w:rPr>
          <w:sz w:val="22"/>
          <w:szCs w:val="22"/>
        </w:rPr>
      </w:pPr>
    </w:p>
    <w:p w:rsidR="000E00C0" w:rsidRPr="006749DA" w:rsidRDefault="000E00C0" w:rsidP="000E00C0">
      <w:pPr>
        <w:pStyle w:val="a3"/>
        <w:keepLines/>
        <w:numPr>
          <w:ilvl w:val="1"/>
          <w:numId w:val="136"/>
        </w:numPr>
        <w:tabs>
          <w:tab w:val="left" w:pos="709"/>
        </w:tabs>
        <w:spacing w:after="0" w:line="360" w:lineRule="auto"/>
        <w:jc w:val="both"/>
        <w:rPr>
          <w:rFonts w:ascii="Times New Roman" w:hAnsi="Times New Roman"/>
          <w:sz w:val="24"/>
          <w:szCs w:val="24"/>
        </w:rPr>
      </w:pPr>
      <w:r w:rsidRPr="006749DA">
        <w:rPr>
          <w:rFonts w:ascii="Times New Roman" w:hAnsi="Times New Roman"/>
          <w:sz w:val="24"/>
          <w:szCs w:val="24"/>
        </w:rPr>
        <w:t>В случае, если срок погашения актива менее года от даты расчета СЧА, то используется вероятность дефолта контрагента на срок, оставшийся до погашения, по следующей формуле:</w:t>
      </w:r>
    </w:p>
    <w:p w:rsidR="000E00C0" w:rsidRPr="006749DA" w:rsidRDefault="000E00C0" w:rsidP="000E00C0">
      <w:pPr>
        <w:pStyle w:val="a3"/>
        <w:keepLines/>
        <w:tabs>
          <w:tab w:val="left" w:pos="709"/>
        </w:tabs>
        <w:spacing w:after="0" w:line="360" w:lineRule="auto"/>
        <w:ind w:left="0"/>
        <w:jc w:val="right"/>
        <w:rPr>
          <w:rFonts w:ascii="Times New Roman" w:hAnsi="Times New Roman"/>
          <w:sz w:val="24"/>
          <w:szCs w:val="24"/>
        </w:rPr>
      </w:pPr>
      <m:oMath>
        <m:r>
          <w:rPr>
            <w:rFonts w:ascii="Cambria Math" w:hAnsi="Cambria Math"/>
            <w:sz w:val="24"/>
            <w:szCs w:val="24"/>
          </w:rPr>
          <m:t>PD=</m:t>
        </m:r>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year</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d</m:t>
            </m:r>
          </m:num>
          <m:den>
            <m:r>
              <w:rPr>
                <w:rFonts w:ascii="Cambria Math" w:hAnsi="Cambria Math"/>
                <w:sz w:val="24"/>
                <w:szCs w:val="24"/>
              </w:rPr>
              <m:t>365</m:t>
            </m:r>
          </m:den>
        </m:f>
      </m:oMath>
      <w:r w:rsidRPr="006749DA">
        <w:rPr>
          <w:rFonts w:ascii="Times New Roman" w:hAnsi="Times New Roman"/>
          <w:sz w:val="24"/>
          <w:szCs w:val="24"/>
        </w:rPr>
        <w:t>,</w:t>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t>(3)</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где PD –скорректированная вероятность дефолта со сроком до погашения менее года,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PD</w:t>
      </w:r>
      <w:r w:rsidRPr="006749DA">
        <w:rPr>
          <w:rFonts w:ascii="Times New Roman" w:hAnsi="Times New Roman"/>
          <w:i/>
          <w:sz w:val="24"/>
          <w:szCs w:val="24"/>
          <w:vertAlign w:val="subscript"/>
          <w:lang w:val="en-US"/>
        </w:rPr>
        <w:t>year</w:t>
      </w:r>
      <w:r w:rsidRPr="006749DA">
        <w:rPr>
          <w:rFonts w:ascii="Times New Roman" w:hAnsi="Times New Roman"/>
          <w:sz w:val="24"/>
          <w:szCs w:val="24"/>
          <w:vertAlign w:val="subscript"/>
        </w:rPr>
        <w:t xml:space="preserve"> </w:t>
      </w:r>
      <w:r w:rsidRPr="006749DA">
        <w:rPr>
          <w:rFonts w:ascii="Times New Roman" w:hAnsi="Times New Roman"/>
          <w:sz w:val="24"/>
          <w:szCs w:val="24"/>
        </w:rPr>
        <w:t>- годовая вероятность дефолта контрагента,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d</w:t>
      </w:r>
      <w:r w:rsidRPr="006749DA">
        <w:rPr>
          <w:rFonts w:ascii="Times New Roman" w:hAnsi="Times New Roman"/>
          <w:sz w:val="24"/>
          <w:szCs w:val="24"/>
        </w:rPr>
        <w:t xml:space="preserve"> – срок, оставшийся до погашения (в днях).</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Под сроком до погашения для денежных средств на расчётных и брокерских счетах в случае если их изъятие не ограничено условиями договоров понимается  1 день.</w:t>
      </w:r>
    </w:p>
    <w:p w:rsidR="000E00C0" w:rsidRPr="006749DA" w:rsidRDefault="000E00C0" w:rsidP="000E00C0">
      <w:pPr>
        <w:keepLines/>
        <w:tabs>
          <w:tab w:val="left" w:pos="1134"/>
        </w:tabs>
        <w:spacing w:line="360" w:lineRule="auto"/>
        <w:jc w:val="both"/>
        <w:rPr>
          <w:sz w:val="24"/>
          <w:szCs w:val="24"/>
        </w:rPr>
      </w:pPr>
      <w:r w:rsidRPr="006749DA">
        <w:rPr>
          <w:sz w:val="24"/>
          <w:szCs w:val="24"/>
        </w:rPr>
        <w:t>3.4. При отсутствии внешнего и внутреннего</w:t>
      </w:r>
      <w:r w:rsidRPr="006749DA">
        <w:rPr>
          <w:rStyle w:val="ad"/>
          <w:sz w:val="24"/>
          <w:szCs w:val="24"/>
        </w:rPr>
        <w:footnoteReference w:id="4"/>
      </w:r>
      <w:r w:rsidRPr="006749DA">
        <w:rPr>
          <w:sz w:val="24"/>
          <w:szCs w:val="24"/>
        </w:rPr>
        <w:t xml:space="preserve"> кредитного рейтинга контрагенту присваивается вероятность дефолта PD, соответствующая рейтингу CCC по шкале международного рейтингового агентства S&amp;P.</w:t>
      </w:r>
    </w:p>
    <w:p w:rsidR="000E00C0" w:rsidRPr="006749DA" w:rsidRDefault="000E00C0" w:rsidP="000E00C0">
      <w:pPr>
        <w:pStyle w:val="a3"/>
        <w:keepLines/>
        <w:tabs>
          <w:tab w:val="left" w:pos="709"/>
        </w:tabs>
        <w:spacing w:after="0" w:line="360" w:lineRule="auto"/>
        <w:ind w:left="0"/>
        <w:jc w:val="both"/>
        <w:rPr>
          <w:rFonts w:ascii="Times New Roman" w:hAnsi="Times New Roman"/>
          <w:sz w:val="24"/>
          <w:szCs w:val="24"/>
        </w:rPr>
      </w:pPr>
      <w:r w:rsidRPr="006749DA">
        <w:rPr>
          <w:rFonts w:ascii="Times New Roman" w:hAnsi="Times New Roman"/>
          <w:sz w:val="24"/>
          <w:szCs w:val="24"/>
        </w:rPr>
        <w:t>3.5. Вероятность дефолта PD устанавливается равной 1 (единице) в случае выявления одного или нескольких следующих негативных событий:</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наличие информации о возбуждении процедуры банкротства контрагента;</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отзыв (аннулирование) у контрагента лицензии по осуществлению основного вида деятельности;</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просрочка исполнения обязательства контрагентом перед Фондом сроком более</w:t>
      </w:r>
      <w:r w:rsidRPr="006749DA">
        <w:rPr>
          <w:rFonts w:ascii="Times New Roman" w:hAnsi="Times New Roman"/>
          <w:sz w:val="24"/>
          <w:szCs w:val="24"/>
        </w:rPr>
        <w:br/>
        <w:t>7 (семи)/10 (десяти) рабочих дней после установленного срока для российских/иностранных контрагентов.</w:t>
      </w:r>
    </w:p>
    <w:p w:rsidR="000E00C0" w:rsidRPr="00D817A7" w:rsidRDefault="000E00C0" w:rsidP="000E00C0">
      <w:pPr>
        <w:keepLines/>
        <w:numPr>
          <w:ilvl w:val="0"/>
          <w:numId w:val="136"/>
        </w:numPr>
        <w:tabs>
          <w:tab w:val="left" w:pos="709"/>
        </w:tabs>
        <w:spacing w:before="120" w:after="120" w:line="360" w:lineRule="auto"/>
        <w:ind w:left="0" w:firstLine="0"/>
        <w:jc w:val="both"/>
        <w:rPr>
          <w:sz w:val="22"/>
          <w:szCs w:val="22"/>
        </w:rPr>
      </w:pPr>
      <w:r w:rsidRPr="00D817A7">
        <w:rPr>
          <w:b/>
          <w:sz w:val="22"/>
          <w:szCs w:val="22"/>
        </w:rPr>
        <w:t xml:space="preserve">Порядок определения LGD </w:t>
      </w:r>
    </w:p>
    <w:p w:rsidR="000E00C0" w:rsidRPr="006749DA" w:rsidRDefault="000E00C0" w:rsidP="000E00C0">
      <w:pPr>
        <w:keepLines/>
        <w:tabs>
          <w:tab w:val="left" w:pos="709"/>
        </w:tabs>
        <w:spacing w:before="120" w:after="120" w:line="360" w:lineRule="auto"/>
        <w:jc w:val="both"/>
        <w:rPr>
          <w:sz w:val="24"/>
          <w:szCs w:val="24"/>
        </w:rPr>
      </w:pPr>
      <w:r w:rsidRPr="006749DA">
        <w:rPr>
          <w:sz w:val="24"/>
          <w:szCs w:val="24"/>
        </w:rPr>
        <w:t>При выявлении одного или нескольких негативных событий расчет LGD производится по следующей формуле:</w:t>
      </w:r>
    </w:p>
    <w:p w:rsidR="000E00C0" w:rsidRPr="00D817A7" w:rsidRDefault="000E00C0" w:rsidP="000E00C0">
      <w:pPr>
        <w:tabs>
          <w:tab w:val="left" w:pos="3119"/>
        </w:tabs>
        <w:ind w:left="3119"/>
        <w:jc w:val="right"/>
        <w:rPr>
          <w:sz w:val="22"/>
          <w:szCs w:val="22"/>
        </w:rPr>
      </w:pPr>
      <m:oMath>
        <m:r>
          <w:rPr>
            <w:rFonts w:ascii="Cambria Math" w:hAnsi="Cambria Math"/>
            <w:sz w:val="22"/>
            <w:szCs w:val="22"/>
            <w:lang w:val="en-US"/>
          </w:rPr>
          <m:t>LGD</m:t>
        </m:r>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PV-R</m:t>
                    </m:r>
                  </m:num>
                  <m:den>
                    <m:r>
                      <w:rPr>
                        <w:rFonts w:ascii="Cambria Math" w:hAnsi="Cambria Math"/>
                        <w:sz w:val="22"/>
                        <w:szCs w:val="22"/>
                      </w:rPr>
                      <m:t>PV</m:t>
                    </m:r>
                  </m:den>
                </m:f>
                <m:r>
                  <w:rPr>
                    <w:rFonts w:ascii="Cambria Math" w:hAnsi="Cambria Math"/>
                    <w:sz w:val="22"/>
                    <w:szCs w:val="22"/>
                  </w:rPr>
                  <m:t xml:space="preserve">,   </m:t>
                </m:r>
                <m:r>
                  <w:rPr>
                    <w:rFonts w:ascii="Cambria Math" w:hAnsi="Cambria Math" w:hint="eastAsia"/>
                    <w:sz w:val="22"/>
                    <w:szCs w:val="22"/>
                  </w:rPr>
                  <m:t>если</m:t>
                </m:r>
                <m:r>
                  <w:rPr>
                    <w:rFonts w:ascii="Cambria Math" w:hAnsi="Cambria Math"/>
                    <w:sz w:val="22"/>
                    <w:szCs w:val="22"/>
                  </w:rPr>
                  <m:t xml:space="preserve"> PV&gt;R</m:t>
                </m:r>
              </m:e>
              <m:e>
                <m:r>
                  <w:rPr>
                    <w:rFonts w:ascii="Cambria Math" w:hAnsi="Cambria Math"/>
                    <w:sz w:val="22"/>
                    <w:szCs w:val="22"/>
                  </w:rPr>
                  <m:t xml:space="preserve">    0,       </m:t>
                </m:r>
                <m:r>
                  <w:rPr>
                    <w:rFonts w:ascii="Cambria Math" w:hAnsi="Cambria Math" w:hint="eastAsia"/>
                    <w:sz w:val="22"/>
                    <w:szCs w:val="22"/>
                  </w:rPr>
                  <m:t>если</m:t>
                </m:r>
                <m:r>
                  <w:rPr>
                    <w:rFonts w:ascii="Cambria Math" w:hAnsi="Cambria Math"/>
                    <w:sz w:val="22"/>
                    <w:szCs w:val="22"/>
                  </w:rPr>
                  <m:t xml:space="preserve"> PV≤R</m:t>
                </m:r>
              </m:e>
            </m:eqArr>
          </m:e>
        </m:d>
      </m:oMath>
      <w:r w:rsidRPr="00D817A7">
        <w:rPr>
          <w:i/>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t>(4)</w:t>
      </w:r>
    </w:p>
    <w:p w:rsidR="000E00C0" w:rsidRPr="00D817A7" w:rsidRDefault="000E00C0" w:rsidP="000E00C0">
      <w:pPr>
        <w:spacing w:line="360" w:lineRule="auto"/>
        <w:jc w:val="both"/>
        <w:rPr>
          <w:sz w:val="22"/>
          <w:szCs w:val="22"/>
        </w:rPr>
      </w:pPr>
      <w:r w:rsidRPr="00D817A7">
        <w:rPr>
          <w:sz w:val="22"/>
          <w:szCs w:val="22"/>
        </w:rPr>
        <w:t xml:space="preserve">где </w:t>
      </w:r>
      <w:r w:rsidRPr="00D817A7">
        <w:rPr>
          <w:sz w:val="22"/>
          <w:szCs w:val="22"/>
          <w:lang w:val="en-US"/>
        </w:rPr>
        <w:t>PV</w:t>
      </w:r>
      <w:r w:rsidRPr="00D817A7">
        <w:rPr>
          <w:sz w:val="22"/>
          <w:szCs w:val="22"/>
        </w:rPr>
        <w:t xml:space="preserve"> - справедливая стоимость актива на отчётную дату; </w:t>
      </w:r>
      <w:r w:rsidRPr="00D817A7">
        <w:rPr>
          <w:sz w:val="22"/>
          <w:szCs w:val="22"/>
          <w:lang w:val="en-US"/>
        </w:rPr>
        <w:t>R</w:t>
      </w:r>
      <w:r w:rsidRPr="00D817A7">
        <w:rPr>
          <w:sz w:val="22"/>
          <w:szCs w:val="22"/>
        </w:rPr>
        <w:t xml:space="preserve"> - размер обеспечения.</w:t>
      </w:r>
    </w:p>
    <w:p w:rsidR="000E00C0" w:rsidRPr="00D817A7" w:rsidRDefault="000E00C0" w:rsidP="000E00C0">
      <w:pPr>
        <w:rPr>
          <w:rFonts w:eastAsia="Calibri"/>
          <w:b/>
          <w:sz w:val="22"/>
          <w:szCs w:val="22"/>
          <w:lang w:eastAsia="en-US"/>
        </w:rPr>
      </w:pPr>
      <w:r w:rsidRPr="00D817A7">
        <w:rPr>
          <w:rFonts w:eastAsia="Calibri"/>
          <w:b/>
          <w:sz w:val="22"/>
          <w:szCs w:val="22"/>
          <w:lang w:eastAsia="en-US"/>
        </w:rPr>
        <w:br w:type="page"/>
      </w:r>
    </w:p>
    <w:p w:rsidR="00AE2EEA" w:rsidRPr="00B602F2" w:rsidRDefault="00AE2EEA" w:rsidP="006D7089">
      <w:pPr>
        <w:rPr>
          <w:sz w:val="24"/>
          <w:szCs w:val="24"/>
        </w:rPr>
      </w:pPr>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 xml:space="preserve">Приложение </w:t>
      </w:r>
      <w:r w:rsidR="0055074B">
        <w:rPr>
          <w:rFonts w:ascii="Times New Roman" w:hAnsi="Times New Roman"/>
          <w:b/>
          <w:sz w:val="24"/>
          <w:szCs w:val="24"/>
        </w:rPr>
        <w:t>4</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r w:rsidR="00260669" w:rsidRPr="00B602F2" w:rsidTr="003C58FE">
        <w:tc>
          <w:tcPr>
            <w:tcW w:w="7085" w:type="dxa"/>
            <w:shd w:val="clear" w:color="auto" w:fill="auto"/>
          </w:tcPr>
          <w:p w:rsidR="00260669" w:rsidRDefault="00260669">
            <w:r w:rsidRPr="00F42CAD">
              <w:rPr>
                <w:color w:val="000000"/>
                <w:sz w:val="24"/>
                <w:szCs w:val="24"/>
              </w:rPr>
              <w:t>Фондовая биржа Насдак</w:t>
            </w:r>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101"/>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B3" w:rsidRDefault="00BF19B3" w:rsidP="003830AE">
      <w:r>
        <w:separator/>
      </w:r>
    </w:p>
  </w:endnote>
  <w:endnote w:type="continuationSeparator" w:id="0">
    <w:p w:rsidR="00BF19B3" w:rsidRDefault="00BF19B3"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A7" w:rsidRDefault="00D817A7">
    <w:pPr>
      <w:pStyle w:val="af2"/>
      <w:jc w:val="right"/>
    </w:pPr>
    <w:r>
      <w:fldChar w:fldCharType="begin"/>
    </w:r>
    <w:r>
      <w:instrText>PAGE   \* MERGEFORMAT</w:instrText>
    </w:r>
    <w:r>
      <w:fldChar w:fldCharType="separate"/>
    </w:r>
    <w:r w:rsidR="001C18A6">
      <w:rPr>
        <w:noProof/>
      </w:rPr>
      <w:t>1</w:t>
    </w:r>
    <w:r>
      <w:fldChar w:fldCharType="end"/>
    </w:r>
  </w:p>
  <w:p w:rsidR="00D817A7" w:rsidRDefault="00D817A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B3" w:rsidRDefault="00BF19B3" w:rsidP="003830AE">
      <w:r>
        <w:separator/>
      </w:r>
    </w:p>
  </w:footnote>
  <w:footnote w:type="continuationSeparator" w:id="0">
    <w:p w:rsidR="00BF19B3" w:rsidRDefault="00BF19B3" w:rsidP="003830AE">
      <w:r>
        <w:continuationSeparator/>
      </w:r>
    </w:p>
  </w:footnote>
  <w:footnote w:id="1">
    <w:p w:rsidR="00D817A7" w:rsidRDefault="00D817A7" w:rsidP="000E00C0">
      <w:pPr>
        <w:pStyle w:val="ab"/>
        <w:rPr>
          <w:rFonts w:ascii="Times New Roman" w:hAnsi="Times New Roman"/>
        </w:rPr>
      </w:pPr>
      <w:r>
        <w:rPr>
          <w:rStyle w:val="ad"/>
          <w:rFonts w:ascii="Times New Roman" w:hAnsi="Times New Roman"/>
        </w:rPr>
        <w:footnoteRef/>
      </w:r>
      <w:r>
        <w:rPr>
          <w:rFonts w:ascii="Times New Roman" w:hAnsi="Times New Roman"/>
        </w:rPr>
        <w:t xml:space="preserve"> По международной рейтинговой шкале в соответствующей валюте актива</w:t>
      </w:r>
    </w:p>
  </w:footnote>
  <w:footnote w:id="2">
    <w:p w:rsidR="00D817A7" w:rsidRDefault="00D817A7" w:rsidP="000E00C0">
      <w:pPr>
        <w:pStyle w:val="ab"/>
      </w:pPr>
      <w:r>
        <w:rPr>
          <w:rStyle w:val="ad"/>
          <w:rFonts w:ascii="Times New Roman" w:hAnsi="Times New Roman"/>
        </w:rPr>
        <w:footnoteRef/>
      </w:r>
      <w:r>
        <w:rPr>
          <w:rFonts w:ascii="Times New Roman" w:hAnsi="Times New Roman"/>
        </w:rPr>
        <w:t xml:space="preserve"> По национальной рейтинговой шкале в национальной валюте</w:t>
      </w:r>
    </w:p>
  </w:footnote>
  <w:footnote w:id="3">
    <w:p w:rsidR="00F013EC" w:rsidRPr="00BB1F30" w:rsidRDefault="00F013EC" w:rsidP="00F013EC">
      <w:r>
        <w:rPr>
          <w:rStyle w:val="ad"/>
        </w:rPr>
        <w:footnoteRef/>
      </w:r>
      <w:r>
        <w:t xml:space="preserve"> </w:t>
      </w:r>
      <w:r w:rsidRPr="00BB1F30">
        <w:t xml:space="preserve">Данные приведены </w:t>
      </w:r>
      <w:r>
        <w:t xml:space="preserve">на основании отчета </w:t>
      </w:r>
      <w:r w:rsidRPr="00BB1F30">
        <w:t>S&amp;P</w:t>
      </w:r>
      <w:r>
        <w:t xml:space="preserve"> по итогам 2019 года. </w:t>
      </w:r>
      <w:r w:rsidRPr="00960F9F">
        <w:t xml:space="preserve">Источник </w:t>
      </w:r>
      <w:r w:rsidRPr="00DA037F">
        <w:t>https://www.spglobal.com/ratings/en/research/articles/200429-default-transition-and-recovery-2019-annual-global-corporate-default-and-rating-transition-study-11444862</w:t>
      </w:r>
    </w:p>
  </w:footnote>
  <w:footnote w:id="4">
    <w:p w:rsidR="00D817A7" w:rsidRDefault="00D817A7" w:rsidP="000E00C0">
      <w:pPr>
        <w:pStyle w:val="ab"/>
        <w:jc w:val="both"/>
      </w:pPr>
      <w:r>
        <w:rPr>
          <w:rStyle w:val="ad"/>
        </w:rPr>
        <w:footnoteRef/>
      </w:r>
      <w:r>
        <w:t xml:space="preserve"> </w:t>
      </w:r>
      <w:r>
        <w:rPr>
          <w:rFonts w:ascii="Times New Roman" w:hAnsi="Times New Roman"/>
        </w:rPr>
        <w:t>Невозможно определить внутренний рейтинг контрагента по причине отсутствия исходных данных по контрагенту (отсутствие бухгалтерской отчетности контрагента или её неактуальность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5">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9">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31">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8">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9">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42">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8">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9">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6">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3">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65">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7">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2">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73">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5">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7">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79">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8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1">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2">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5">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6">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91">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92">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3">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3">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4">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6">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8">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9">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7B05B71"/>
    <w:multiLevelType w:val="hybridMultilevel"/>
    <w:tmpl w:val="8EE8F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2">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25">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95"/>
  </w:num>
  <w:num w:numId="3">
    <w:abstractNumId w:val="107"/>
  </w:num>
  <w:num w:numId="4">
    <w:abstractNumId w:val="2"/>
  </w:num>
  <w:num w:numId="5">
    <w:abstractNumId w:val="71"/>
  </w:num>
  <w:num w:numId="6">
    <w:abstractNumId w:val="97"/>
  </w:num>
  <w:num w:numId="7">
    <w:abstractNumId w:val="20"/>
  </w:num>
  <w:num w:numId="8">
    <w:abstractNumId w:val="124"/>
  </w:num>
  <w:num w:numId="9">
    <w:abstractNumId w:val="7"/>
  </w:num>
  <w:num w:numId="10">
    <w:abstractNumId w:val="85"/>
  </w:num>
  <w:num w:numId="11">
    <w:abstractNumId w:val="4"/>
  </w:num>
  <w:num w:numId="12">
    <w:abstractNumId w:val="10"/>
  </w:num>
  <w:num w:numId="13">
    <w:abstractNumId w:val="28"/>
  </w:num>
  <w:num w:numId="14">
    <w:abstractNumId w:val="39"/>
  </w:num>
  <w:num w:numId="15">
    <w:abstractNumId w:val="44"/>
  </w:num>
  <w:num w:numId="16">
    <w:abstractNumId w:val="117"/>
  </w:num>
  <w:num w:numId="17">
    <w:abstractNumId w:val="109"/>
  </w:num>
  <w:num w:numId="18">
    <w:abstractNumId w:val="84"/>
  </w:num>
  <w:num w:numId="19">
    <w:abstractNumId w:val="72"/>
  </w:num>
  <w:num w:numId="20">
    <w:abstractNumId w:val="77"/>
  </w:num>
  <w:num w:numId="21">
    <w:abstractNumId w:val="6"/>
  </w:num>
  <w:num w:numId="22">
    <w:abstractNumId w:val="8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86"/>
  </w:num>
  <w:num w:numId="25">
    <w:abstractNumId w:val="119"/>
  </w:num>
  <w:num w:numId="26">
    <w:abstractNumId w:val="98"/>
  </w:num>
  <w:num w:numId="27">
    <w:abstractNumId w:val="63"/>
  </w:num>
  <w:num w:numId="28">
    <w:abstractNumId w:val="49"/>
  </w:num>
  <w:num w:numId="29">
    <w:abstractNumId w:val="54"/>
  </w:num>
  <w:num w:numId="30">
    <w:abstractNumId w:val="89"/>
  </w:num>
  <w:num w:numId="31">
    <w:abstractNumId w:val="25"/>
  </w:num>
  <w:num w:numId="32">
    <w:abstractNumId w:val="3"/>
  </w:num>
  <w:num w:numId="33">
    <w:abstractNumId w:val="5"/>
  </w:num>
  <w:num w:numId="34">
    <w:abstractNumId w:val="110"/>
  </w:num>
  <w:num w:numId="35">
    <w:abstractNumId w:val="31"/>
  </w:num>
  <w:num w:numId="36">
    <w:abstractNumId w:val="70"/>
  </w:num>
  <w:num w:numId="37">
    <w:abstractNumId w:val="104"/>
  </w:num>
  <w:num w:numId="38">
    <w:abstractNumId w:val="76"/>
  </w:num>
  <w:num w:numId="39">
    <w:abstractNumId w:val="113"/>
  </w:num>
  <w:num w:numId="40">
    <w:abstractNumId w:val="51"/>
  </w:num>
  <w:num w:numId="41">
    <w:abstractNumId w:val="43"/>
  </w:num>
  <w:num w:numId="42">
    <w:abstractNumId w:val="15"/>
  </w:num>
  <w:num w:numId="43">
    <w:abstractNumId w:val="46"/>
  </w:num>
  <w:num w:numId="44">
    <w:abstractNumId w:val="62"/>
  </w:num>
  <w:num w:numId="45">
    <w:abstractNumId w:val="12"/>
  </w:num>
  <w:num w:numId="46">
    <w:abstractNumId w:val="38"/>
  </w:num>
  <w:num w:numId="47">
    <w:abstractNumId w:val="38"/>
    <w:lvlOverride w:ilvl="0">
      <w:startOverride w:val="1"/>
    </w:lvlOverride>
  </w:num>
  <w:num w:numId="48">
    <w:abstractNumId w:val="33"/>
  </w:num>
  <w:num w:numId="49">
    <w:abstractNumId w:val="74"/>
  </w:num>
  <w:num w:numId="50">
    <w:abstractNumId w:val="1"/>
  </w:num>
  <w:num w:numId="51">
    <w:abstractNumId w:val="36"/>
  </w:num>
  <w:num w:numId="52">
    <w:abstractNumId w:val="13"/>
  </w:num>
  <w:num w:numId="53">
    <w:abstractNumId w:val="40"/>
  </w:num>
  <w:num w:numId="54">
    <w:abstractNumId w:val="108"/>
  </w:num>
  <w:num w:numId="55">
    <w:abstractNumId w:val="65"/>
  </w:num>
  <w:num w:numId="56">
    <w:abstractNumId w:val="17"/>
  </w:num>
  <w:num w:numId="57">
    <w:abstractNumId w:val="102"/>
  </w:num>
  <w:num w:numId="58">
    <w:abstractNumId w:val="8"/>
  </w:num>
  <w:num w:numId="59">
    <w:abstractNumId w:val="39"/>
  </w:num>
  <w:num w:numId="60">
    <w:abstractNumId w:val="37"/>
  </w:num>
  <w:num w:numId="61">
    <w:abstractNumId w:val="60"/>
  </w:num>
  <w:num w:numId="62">
    <w:abstractNumId w:val="66"/>
  </w:num>
  <w:num w:numId="63">
    <w:abstractNumId w:val="58"/>
  </w:num>
  <w:num w:numId="64">
    <w:abstractNumId w:val="93"/>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52"/>
  </w:num>
  <w:num w:numId="68">
    <w:abstractNumId w:val="16"/>
  </w:num>
  <w:num w:numId="69">
    <w:abstractNumId w:val="114"/>
  </w:num>
  <w:num w:numId="70">
    <w:abstractNumId w:val="27"/>
  </w:num>
  <w:num w:numId="71">
    <w:abstractNumId w:val="94"/>
  </w:num>
  <w:num w:numId="72">
    <w:abstractNumId w:val="69"/>
  </w:num>
  <w:num w:numId="73">
    <w:abstractNumId w:val="9"/>
  </w:num>
  <w:num w:numId="74">
    <w:abstractNumId w:val="67"/>
  </w:num>
  <w:num w:numId="75">
    <w:abstractNumId w:val="83"/>
  </w:num>
  <w:num w:numId="76">
    <w:abstractNumId w:val="23"/>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num>
  <w:num w:numId="79">
    <w:abstractNumId w:val="125"/>
  </w:num>
  <w:num w:numId="80">
    <w:abstractNumId w:val="103"/>
  </w:num>
  <w:num w:numId="81">
    <w:abstractNumId w:val="121"/>
  </w:num>
  <w:num w:numId="82">
    <w:abstractNumId w:val="30"/>
  </w:num>
  <w:num w:numId="83">
    <w:abstractNumId w:val="42"/>
  </w:num>
  <w:num w:numId="84">
    <w:abstractNumId w:val="56"/>
  </w:num>
  <w:num w:numId="85">
    <w:abstractNumId w:val="78"/>
  </w:num>
  <w:num w:numId="86">
    <w:abstractNumId w:val="0"/>
  </w:num>
  <w:num w:numId="87">
    <w:abstractNumId w:val="19"/>
  </w:num>
  <w:num w:numId="88">
    <w:abstractNumId w:val="82"/>
  </w:num>
  <w:num w:numId="89">
    <w:abstractNumId w:val="29"/>
  </w:num>
  <w:num w:numId="90">
    <w:abstractNumId w:val="32"/>
  </w:num>
  <w:num w:numId="91">
    <w:abstractNumId w:val="22"/>
  </w:num>
  <w:num w:numId="92">
    <w:abstractNumId w:val="21"/>
  </w:num>
  <w:num w:numId="93">
    <w:abstractNumId w:val="41"/>
  </w:num>
  <w:num w:numId="9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6"/>
  </w:num>
  <w:num w:numId="96">
    <w:abstractNumId w:val="106"/>
  </w:num>
  <w:num w:numId="97">
    <w:abstractNumId w:val="68"/>
  </w:num>
  <w:num w:numId="98">
    <w:abstractNumId w:val="105"/>
  </w:num>
  <w:num w:numId="99">
    <w:abstractNumId w:val="123"/>
  </w:num>
  <w:num w:numId="100">
    <w:abstractNumId w:val="111"/>
  </w:num>
  <w:num w:numId="101">
    <w:abstractNumId w:val="87"/>
  </w:num>
  <w:num w:numId="102">
    <w:abstractNumId w:val="88"/>
  </w:num>
  <w:num w:numId="103">
    <w:abstractNumId w:val="92"/>
  </w:num>
  <w:num w:numId="104">
    <w:abstractNumId w:val="112"/>
  </w:num>
  <w:num w:numId="105">
    <w:abstractNumId w:val="57"/>
  </w:num>
  <w:num w:numId="106">
    <w:abstractNumId w:val="75"/>
  </w:num>
  <w:num w:numId="10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6"/>
  </w:num>
  <w:num w:numId="109">
    <w:abstractNumId w:val="24"/>
  </w:num>
  <w:num w:numId="110">
    <w:abstractNumId w:val="34"/>
  </w:num>
  <w:num w:numId="111">
    <w:abstractNumId w:val="91"/>
  </w:num>
  <w:num w:numId="112">
    <w:abstractNumId w:val="101"/>
  </w:num>
  <w:num w:numId="113">
    <w:abstractNumId w:val="99"/>
  </w:num>
  <w:num w:numId="114">
    <w:abstractNumId w:val="26"/>
  </w:num>
  <w:num w:numId="115">
    <w:abstractNumId w:val="59"/>
  </w:num>
  <w:num w:numId="116">
    <w:abstractNumId w:val="11"/>
  </w:num>
  <w:num w:numId="117">
    <w:abstractNumId w:val="80"/>
  </w:num>
  <w:num w:numId="118">
    <w:abstractNumId w:val="50"/>
  </w:num>
  <w:num w:numId="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num>
  <w:num w:numId="121">
    <w:abstractNumId w:val="55"/>
  </w:num>
  <w:num w:numId="122">
    <w:abstractNumId w:val="115"/>
  </w:num>
  <w:num w:numId="123">
    <w:abstractNumId w:val="47"/>
  </w:num>
  <w:num w:numId="124">
    <w:abstractNumId w:val="122"/>
  </w:num>
  <w:num w:numId="125">
    <w:abstractNumId w:val="73"/>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0"/>
  </w:num>
  <w:num w:numId="128">
    <w:abstractNumId w:val="90"/>
  </w:num>
  <w:num w:numId="1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1"/>
  </w:num>
  <w:num w:numId="1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8"/>
  </w:num>
  <w:num w:numId="134">
    <w:abstractNumId w:val="1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0"/>
  </w:num>
  <w:num w:numId="136">
    <w:abstractNumId w:val="10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5"/>
  </w:num>
  <w:num w:numId="138">
    <w:abstractNumId w:val="45"/>
  </w:num>
  <w:num w:numId="139">
    <w:abstractNumId w:val="12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064D7"/>
    <w:rsid w:val="00010341"/>
    <w:rsid w:val="00013B13"/>
    <w:rsid w:val="00017690"/>
    <w:rsid w:val="00017937"/>
    <w:rsid w:val="00023789"/>
    <w:rsid w:val="00023C4E"/>
    <w:rsid w:val="0002429A"/>
    <w:rsid w:val="000264EC"/>
    <w:rsid w:val="000276CA"/>
    <w:rsid w:val="00030ECC"/>
    <w:rsid w:val="00032EEC"/>
    <w:rsid w:val="00033893"/>
    <w:rsid w:val="00033ADF"/>
    <w:rsid w:val="00033F72"/>
    <w:rsid w:val="000354CD"/>
    <w:rsid w:val="000400A0"/>
    <w:rsid w:val="00043A9A"/>
    <w:rsid w:val="00043DD3"/>
    <w:rsid w:val="00044BD6"/>
    <w:rsid w:val="00046022"/>
    <w:rsid w:val="00051D05"/>
    <w:rsid w:val="000521CD"/>
    <w:rsid w:val="00052BB9"/>
    <w:rsid w:val="00054374"/>
    <w:rsid w:val="00055734"/>
    <w:rsid w:val="00056C0E"/>
    <w:rsid w:val="000663BA"/>
    <w:rsid w:val="00066C60"/>
    <w:rsid w:val="00071E67"/>
    <w:rsid w:val="000735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3671"/>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D5F91"/>
    <w:rsid w:val="000E00C0"/>
    <w:rsid w:val="000E058F"/>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3016E"/>
    <w:rsid w:val="00131BB0"/>
    <w:rsid w:val="00135D24"/>
    <w:rsid w:val="00136C9D"/>
    <w:rsid w:val="00137459"/>
    <w:rsid w:val="001418F4"/>
    <w:rsid w:val="00142307"/>
    <w:rsid w:val="00142E03"/>
    <w:rsid w:val="001436AE"/>
    <w:rsid w:val="0014628C"/>
    <w:rsid w:val="00151D52"/>
    <w:rsid w:val="00153864"/>
    <w:rsid w:val="0015629D"/>
    <w:rsid w:val="001604EB"/>
    <w:rsid w:val="001632DC"/>
    <w:rsid w:val="0016519B"/>
    <w:rsid w:val="0016546F"/>
    <w:rsid w:val="001666C5"/>
    <w:rsid w:val="0017499E"/>
    <w:rsid w:val="00174F07"/>
    <w:rsid w:val="00177A2C"/>
    <w:rsid w:val="00177F5E"/>
    <w:rsid w:val="00180342"/>
    <w:rsid w:val="00180B38"/>
    <w:rsid w:val="00180F46"/>
    <w:rsid w:val="00182DF7"/>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18A6"/>
    <w:rsid w:val="001C2451"/>
    <w:rsid w:val="001C2BAE"/>
    <w:rsid w:val="001C5011"/>
    <w:rsid w:val="001C6566"/>
    <w:rsid w:val="001D3A83"/>
    <w:rsid w:val="001D585A"/>
    <w:rsid w:val="001E0AC3"/>
    <w:rsid w:val="001E117D"/>
    <w:rsid w:val="001F043F"/>
    <w:rsid w:val="001F0D28"/>
    <w:rsid w:val="001F35AC"/>
    <w:rsid w:val="001F5ABF"/>
    <w:rsid w:val="001F798D"/>
    <w:rsid w:val="00200976"/>
    <w:rsid w:val="00203597"/>
    <w:rsid w:val="00204D22"/>
    <w:rsid w:val="00207827"/>
    <w:rsid w:val="00217703"/>
    <w:rsid w:val="00221B27"/>
    <w:rsid w:val="0022699A"/>
    <w:rsid w:val="00230EF4"/>
    <w:rsid w:val="00231387"/>
    <w:rsid w:val="00232746"/>
    <w:rsid w:val="0023602C"/>
    <w:rsid w:val="002360F7"/>
    <w:rsid w:val="00236BAD"/>
    <w:rsid w:val="00236CED"/>
    <w:rsid w:val="00242C26"/>
    <w:rsid w:val="002543F5"/>
    <w:rsid w:val="00260669"/>
    <w:rsid w:val="0026178D"/>
    <w:rsid w:val="00262611"/>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3AC1"/>
    <w:rsid w:val="002A704C"/>
    <w:rsid w:val="002B0E8F"/>
    <w:rsid w:val="002B1203"/>
    <w:rsid w:val="002B358F"/>
    <w:rsid w:val="002B3C60"/>
    <w:rsid w:val="002B446F"/>
    <w:rsid w:val="002B4F9E"/>
    <w:rsid w:val="002B7001"/>
    <w:rsid w:val="002B7D1F"/>
    <w:rsid w:val="002C02AB"/>
    <w:rsid w:val="002C2321"/>
    <w:rsid w:val="002C2A03"/>
    <w:rsid w:val="002C41C0"/>
    <w:rsid w:val="002C4628"/>
    <w:rsid w:val="002D2D20"/>
    <w:rsid w:val="002D54C0"/>
    <w:rsid w:val="002E2B71"/>
    <w:rsid w:val="002E7818"/>
    <w:rsid w:val="002F4C60"/>
    <w:rsid w:val="00301918"/>
    <w:rsid w:val="003021B2"/>
    <w:rsid w:val="00304DE6"/>
    <w:rsid w:val="003127F4"/>
    <w:rsid w:val="00312E6B"/>
    <w:rsid w:val="00313129"/>
    <w:rsid w:val="00315AA3"/>
    <w:rsid w:val="00317D61"/>
    <w:rsid w:val="00320520"/>
    <w:rsid w:val="00320711"/>
    <w:rsid w:val="00326C5E"/>
    <w:rsid w:val="0032768F"/>
    <w:rsid w:val="00327F68"/>
    <w:rsid w:val="0033142B"/>
    <w:rsid w:val="0033389B"/>
    <w:rsid w:val="00333E12"/>
    <w:rsid w:val="00334063"/>
    <w:rsid w:val="0033487F"/>
    <w:rsid w:val="003353C6"/>
    <w:rsid w:val="00337DBE"/>
    <w:rsid w:val="003406EA"/>
    <w:rsid w:val="00341370"/>
    <w:rsid w:val="00343ACD"/>
    <w:rsid w:val="00343CE2"/>
    <w:rsid w:val="00343DA6"/>
    <w:rsid w:val="00344F13"/>
    <w:rsid w:val="0034772B"/>
    <w:rsid w:val="0034795F"/>
    <w:rsid w:val="003539B4"/>
    <w:rsid w:val="00357EF1"/>
    <w:rsid w:val="003609B8"/>
    <w:rsid w:val="0036427D"/>
    <w:rsid w:val="003730E0"/>
    <w:rsid w:val="0037389E"/>
    <w:rsid w:val="00375035"/>
    <w:rsid w:val="00376820"/>
    <w:rsid w:val="00382355"/>
    <w:rsid w:val="003830AE"/>
    <w:rsid w:val="00385DBF"/>
    <w:rsid w:val="00386320"/>
    <w:rsid w:val="00390DB4"/>
    <w:rsid w:val="00391DC8"/>
    <w:rsid w:val="0039221C"/>
    <w:rsid w:val="00396B1A"/>
    <w:rsid w:val="003A35B6"/>
    <w:rsid w:val="003A35F8"/>
    <w:rsid w:val="003A4701"/>
    <w:rsid w:val="003A6106"/>
    <w:rsid w:val="003A73A0"/>
    <w:rsid w:val="003B369C"/>
    <w:rsid w:val="003C3866"/>
    <w:rsid w:val="003C3BD8"/>
    <w:rsid w:val="003C70FC"/>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72BD"/>
    <w:rsid w:val="0041119D"/>
    <w:rsid w:val="004126B2"/>
    <w:rsid w:val="00414721"/>
    <w:rsid w:val="004175F0"/>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170D"/>
    <w:rsid w:val="00483C3E"/>
    <w:rsid w:val="00484282"/>
    <w:rsid w:val="004853F6"/>
    <w:rsid w:val="004900C9"/>
    <w:rsid w:val="00491646"/>
    <w:rsid w:val="0049468A"/>
    <w:rsid w:val="00494B15"/>
    <w:rsid w:val="004962BE"/>
    <w:rsid w:val="004971C9"/>
    <w:rsid w:val="004A034C"/>
    <w:rsid w:val="004A0C28"/>
    <w:rsid w:val="004A3A22"/>
    <w:rsid w:val="004A3DF8"/>
    <w:rsid w:val="004A6BBE"/>
    <w:rsid w:val="004A7C54"/>
    <w:rsid w:val="004C0A43"/>
    <w:rsid w:val="004C1A50"/>
    <w:rsid w:val="004C42F5"/>
    <w:rsid w:val="004C4973"/>
    <w:rsid w:val="004C7DD4"/>
    <w:rsid w:val="004D2083"/>
    <w:rsid w:val="004D2C2F"/>
    <w:rsid w:val="004D6268"/>
    <w:rsid w:val="004E124E"/>
    <w:rsid w:val="004E2438"/>
    <w:rsid w:val="004E45B5"/>
    <w:rsid w:val="004E6328"/>
    <w:rsid w:val="004E7A4E"/>
    <w:rsid w:val="004F169B"/>
    <w:rsid w:val="004F1986"/>
    <w:rsid w:val="004F2EFF"/>
    <w:rsid w:val="004F4438"/>
    <w:rsid w:val="004F5D5D"/>
    <w:rsid w:val="004F72A2"/>
    <w:rsid w:val="00501123"/>
    <w:rsid w:val="005011DB"/>
    <w:rsid w:val="0051080E"/>
    <w:rsid w:val="00510CC1"/>
    <w:rsid w:val="00511FFC"/>
    <w:rsid w:val="00513981"/>
    <w:rsid w:val="00513C08"/>
    <w:rsid w:val="005152F3"/>
    <w:rsid w:val="00515B50"/>
    <w:rsid w:val="00516AA2"/>
    <w:rsid w:val="00522906"/>
    <w:rsid w:val="0052348A"/>
    <w:rsid w:val="00523E57"/>
    <w:rsid w:val="0052413E"/>
    <w:rsid w:val="00524AFE"/>
    <w:rsid w:val="00526769"/>
    <w:rsid w:val="00530DDC"/>
    <w:rsid w:val="005318EC"/>
    <w:rsid w:val="00531A7B"/>
    <w:rsid w:val="00534572"/>
    <w:rsid w:val="00537AB0"/>
    <w:rsid w:val="00540FCA"/>
    <w:rsid w:val="00542EFF"/>
    <w:rsid w:val="005441DC"/>
    <w:rsid w:val="0054520A"/>
    <w:rsid w:val="005467FA"/>
    <w:rsid w:val="00547F91"/>
    <w:rsid w:val="0055074B"/>
    <w:rsid w:val="00551C34"/>
    <w:rsid w:val="005523DE"/>
    <w:rsid w:val="00552908"/>
    <w:rsid w:val="00553946"/>
    <w:rsid w:val="00554BE7"/>
    <w:rsid w:val="005550F4"/>
    <w:rsid w:val="00555137"/>
    <w:rsid w:val="0056579C"/>
    <w:rsid w:val="00566BCA"/>
    <w:rsid w:val="00571A83"/>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8F0"/>
    <w:rsid w:val="005A39C7"/>
    <w:rsid w:val="005A3F82"/>
    <w:rsid w:val="005A57C0"/>
    <w:rsid w:val="005A5CF2"/>
    <w:rsid w:val="005A5F32"/>
    <w:rsid w:val="005A6020"/>
    <w:rsid w:val="005B27BC"/>
    <w:rsid w:val="005B6D41"/>
    <w:rsid w:val="005B7ACA"/>
    <w:rsid w:val="005C441B"/>
    <w:rsid w:val="005C554F"/>
    <w:rsid w:val="005C7569"/>
    <w:rsid w:val="005D0CC5"/>
    <w:rsid w:val="005D51F3"/>
    <w:rsid w:val="005D6F5B"/>
    <w:rsid w:val="005E0259"/>
    <w:rsid w:val="005E10BC"/>
    <w:rsid w:val="005E124E"/>
    <w:rsid w:val="005E7C8E"/>
    <w:rsid w:val="005F0CB7"/>
    <w:rsid w:val="005F12F3"/>
    <w:rsid w:val="005F18FB"/>
    <w:rsid w:val="005F2AC8"/>
    <w:rsid w:val="005F4E75"/>
    <w:rsid w:val="005F5954"/>
    <w:rsid w:val="00604302"/>
    <w:rsid w:val="00604ABF"/>
    <w:rsid w:val="0060535E"/>
    <w:rsid w:val="00605561"/>
    <w:rsid w:val="006065D2"/>
    <w:rsid w:val="006073AB"/>
    <w:rsid w:val="00616812"/>
    <w:rsid w:val="00617814"/>
    <w:rsid w:val="00620D35"/>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749DA"/>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B4501"/>
    <w:rsid w:val="006B6AFB"/>
    <w:rsid w:val="006C0691"/>
    <w:rsid w:val="006C28DC"/>
    <w:rsid w:val="006C7A4D"/>
    <w:rsid w:val="006D1AB8"/>
    <w:rsid w:val="006D1CAE"/>
    <w:rsid w:val="006D589C"/>
    <w:rsid w:val="006D6573"/>
    <w:rsid w:val="006D7089"/>
    <w:rsid w:val="006E07D0"/>
    <w:rsid w:val="006E2923"/>
    <w:rsid w:val="006E3A83"/>
    <w:rsid w:val="006E51D8"/>
    <w:rsid w:val="00701426"/>
    <w:rsid w:val="007016C0"/>
    <w:rsid w:val="0070492F"/>
    <w:rsid w:val="0071542C"/>
    <w:rsid w:val="00715C3B"/>
    <w:rsid w:val="00716DF8"/>
    <w:rsid w:val="00723426"/>
    <w:rsid w:val="00724964"/>
    <w:rsid w:val="007250C5"/>
    <w:rsid w:val="00730812"/>
    <w:rsid w:val="00733EF2"/>
    <w:rsid w:val="0073420D"/>
    <w:rsid w:val="00742272"/>
    <w:rsid w:val="007439FF"/>
    <w:rsid w:val="00750218"/>
    <w:rsid w:val="0075049C"/>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5F84"/>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4429"/>
    <w:rsid w:val="008272DA"/>
    <w:rsid w:val="0082760A"/>
    <w:rsid w:val="008278C1"/>
    <w:rsid w:val="0083138F"/>
    <w:rsid w:val="008331F0"/>
    <w:rsid w:val="0083360D"/>
    <w:rsid w:val="00834BCC"/>
    <w:rsid w:val="00835AF0"/>
    <w:rsid w:val="0083701C"/>
    <w:rsid w:val="0083727A"/>
    <w:rsid w:val="00837982"/>
    <w:rsid w:val="0084076D"/>
    <w:rsid w:val="0084118F"/>
    <w:rsid w:val="00850462"/>
    <w:rsid w:val="008531BD"/>
    <w:rsid w:val="00861165"/>
    <w:rsid w:val="00862493"/>
    <w:rsid w:val="00862613"/>
    <w:rsid w:val="00865051"/>
    <w:rsid w:val="00865858"/>
    <w:rsid w:val="0086674A"/>
    <w:rsid w:val="00867899"/>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ACE"/>
    <w:rsid w:val="008E1CA2"/>
    <w:rsid w:val="008E709B"/>
    <w:rsid w:val="008E7232"/>
    <w:rsid w:val="008F4A3C"/>
    <w:rsid w:val="008F4B61"/>
    <w:rsid w:val="008F7813"/>
    <w:rsid w:val="0090015B"/>
    <w:rsid w:val="009013C1"/>
    <w:rsid w:val="009015E5"/>
    <w:rsid w:val="00904F42"/>
    <w:rsid w:val="00911F6A"/>
    <w:rsid w:val="00913107"/>
    <w:rsid w:val="009160D6"/>
    <w:rsid w:val="00916328"/>
    <w:rsid w:val="00917256"/>
    <w:rsid w:val="00917D36"/>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67466"/>
    <w:rsid w:val="009709E7"/>
    <w:rsid w:val="0097426C"/>
    <w:rsid w:val="00977BF4"/>
    <w:rsid w:val="009856A4"/>
    <w:rsid w:val="009875C3"/>
    <w:rsid w:val="00990A36"/>
    <w:rsid w:val="00992268"/>
    <w:rsid w:val="00992280"/>
    <w:rsid w:val="009926AA"/>
    <w:rsid w:val="00992762"/>
    <w:rsid w:val="00992C44"/>
    <w:rsid w:val="00992EBA"/>
    <w:rsid w:val="009965CD"/>
    <w:rsid w:val="009A05B8"/>
    <w:rsid w:val="009A48DC"/>
    <w:rsid w:val="009B000D"/>
    <w:rsid w:val="009B12A3"/>
    <w:rsid w:val="009B53E1"/>
    <w:rsid w:val="009C4A83"/>
    <w:rsid w:val="009C52A7"/>
    <w:rsid w:val="009C681C"/>
    <w:rsid w:val="009C7BDD"/>
    <w:rsid w:val="009D0B2A"/>
    <w:rsid w:val="009D16D9"/>
    <w:rsid w:val="009D1C36"/>
    <w:rsid w:val="009E0409"/>
    <w:rsid w:val="009E1AD3"/>
    <w:rsid w:val="009E5345"/>
    <w:rsid w:val="009E5BC7"/>
    <w:rsid w:val="009E60BE"/>
    <w:rsid w:val="009E6B40"/>
    <w:rsid w:val="009F2815"/>
    <w:rsid w:val="009F2F72"/>
    <w:rsid w:val="009F35A8"/>
    <w:rsid w:val="009F3E47"/>
    <w:rsid w:val="009F6658"/>
    <w:rsid w:val="009F7AE8"/>
    <w:rsid w:val="00A014DE"/>
    <w:rsid w:val="00A019CD"/>
    <w:rsid w:val="00A01F8F"/>
    <w:rsid w:val="00A027A3"/>
    <w:rsid w:val="00A03222"/>
    <w:rsid w:val="00A051B7"/>
    <w:rsid w:val="00A05B89"/>
    <w:rsid w:val="00A06D30"/>
    <w:rsid w:val="00A1447F"/>
    <w:rsid w:val="00A14F0D"/>
    <w:rsid w:val="00A1583A"/>
    <w:rsid w:val="00A16BBF"/>
    <w:rsid w:val="00A21BF9"/>
    <w:rsid w:val="00A25204"/>
    <w:rsid w:val="00A25DA0"/>
    <w:rsid w:val="00A30D26"/>
    <w:rsid w:val="00A32BC4"/>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1E53"/>
    <w:rsid w:val="00A7371D"/>
    <w:rsid w:val="00A753DE"/>
    <w:rsid w:val="00A7566D"/>
    <w:rsid w:val="00A81E87"/>
    <w:rsid w:val="00A82608"/>
    <w:rsid w:val="00A831A0"/>
    <w:rsid w:val="00A839D7"/>
    <w:rsid w:val="00A86CCC"/>
    <w:rsid w:val="00A91E9A"/>
    <w:rsid w:val="00A92A07"/>
    <w:rsid w:val="00A96122"/>
    <w:rsid w:val="00A96E08"/>
    <w:rsid w:val="00AA0159"/>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2C04"/>
    <w:rsid w:val="00AF4C02"/>
    <w:rsid w:val="00AF5515"/>
    <w:rsid w:val="00AF5680"/>
    <w:rsid w:val="00AF67F8"/>
    <w:rsid w:val="00AF72CA"/>
    <w:rsid w:val="00AF79E8"/>
    <w:rsid w:val="00B01828"/>
    <w:rsid w:val="00B027F4"/>
    <w:rsid w:val="00B02D45"/>
    <w:rsid w:val="00B0494F"/>
    <w:rsid w:val="00B10FFD"/>
    <w:rsid w:val="00B123AB"/>
    <w:rsid w:val="00B14699"/>
    <w:rsid w:val="00B148AE"/>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3612"/>
    <w:rsid w:val="00B84138"/>
    <w:rsid w:val="00B86749"/>
    <w:rsid w:val="00B877F4"/>
    <w:rsid w:val="00B9132A"/>
    <w:rsid w:val="00B92565"/>
    <w:rsid w:val="00B93515"/>
    <w:rsid w:val="00BA3554"/>
    <w:rsid w:val="00BA4BC8"/>
    <w:rsid w:val="00BA5077"/>
    <w:rsid w:val="00BA6D56"/>
    <w:rsid w:val="00BA7A3B"/>
    <w:rsid w:val="00BB16E8"/>
    <w:rsid w:val="00BB1DCE"/>
    <w:rsid w:val="00BB623D"/>
    <w:rsid w:val="00BC2044"/>
    <w:rsid w:val="00BC3C7D"/>
    <w:rsid w:val="00BC6C21"/>
    <w:rsid w:val="00BD352B"/>
    <w:rsid w:val="00BD356A"/>
    <w:rsid w:val="00BD7871"/>
    <w:rsid w:val="00BE0C79"/>
    <w:rsid w:val="00BE327E"/>
    <w:rsid w:val="00BE5F85"/>
    <w:rsid w:val="00BF19B3"/>
    <w:rsid w:val="00BF2B65"/>
    <w:rsid w:val="00BF6E4D"/>
    <w:rsid w:val="00BF7014"/>
    <w:rsid w:val="00BF759F"/>
    <w:rsid w:val="00C033D4"/>
    <w:rsid w:val="00C034EB"/>
    <w:rsid w:val="00C050F3"/>
    <w:rsid w:val="00C05365"/>
    <w:rsid w:val="00C056EB"/>
    <w:rsid w:val="00C07D91"/>
    <w:rsid w:val="00C125F2"/>
    <w:rsid w:val="00C13B0C"/>
    <w:rsid w:val="00C150B8"/>
    <w:rsid w:val="00C16709"/>
    <w:rsid w:val="00C16A2B"/>
    <w:rsid w:val="00C17699"/>
    <w:rsid w:val="00C2401F"/>
    <w:rsid w:val="00C27195"/>
    <w:rsid w:val="00C2774D"/>
    <w:rsid w:val="00C33CC0"/>
    <w:rsid w:val="00C40D07"/>
    <w:rsid w:val="00C41500"/>
    <w:rsid w:val="00C41FB6"/>
    <w:rsid w:val="00C44113"/>
    <w:rsid w:val="00C44990"/>
    <w:rsid w:val="00C457BA"/>
    <w:rsid w:val="00C467E2"/>
    <w:rsid w:val="00C47DEE"/>
    <w:rsid w:val="00C50D43"/>
    <w:rsid w:val="00C51A1D"/>
    <w:rsid w:val="00C5342A"/>
    <w:rsid w:val="00C53EBA"/>
    <w:rsid w:val="00C53F7F"/>
    <w:rsid w:val="00C549FC"/>
    <w:rsid w:val="00C575B9"/>
    <w:rsid w:val="00C64197"/>
    <w:rsid w:val="00C65F70"/>
    <w:rsid w:val="00C72FA3"/>
    <w:rsid w:val="00C738BC"/>
    <w:rsid w:val="00C80418"/>
    <w:rsid w:val="00C81073"/>
    <w:rsid w:val="00C831B9"/>
    <w:rsid w:val="00C83A60"/>
    <w:rsid w:val="00C83DA2"/>
    <w:rsid w:val="00C8532C"/>
    <w:rsid w:val="00C862DC"/>
    <w:rsid w:val="00C91EDE"/>
    <w:rsid w:val="00C92B74"/>
    <w:rsid w:val="00C952F7"/>
    <w:rsid w:val="00CA14A2"/>
    <w:rsid w:val="00CA4F48"/>
    <w:rsid w:val="00CA5430"/>
    <w:rsid w:val="00CA5873"/>
    <w:rsid w:val="00CA62B4"/>
    <w:rsid w:val="00CA712B"/>
    <w:rsid w:val="00CA743E"/>
    <w:rsid w:val="00CB20E1"/>
    <w:rsid w:val="00CB264C"/>
    <w:rsid w:val="00CC1B84"/>
    <w:rsid w:val="00CC4290"/>
    <w:rsid w:val="00CC4419"/>
    <w:rsid w:val="00CC5C47"/>
    <w:rsid w:val="00CC74B8"/>
    <w:rsid w:val="00CD29FD"/>
    <w:rsid w:val="00CD6750"/>
    <w:rsid w:val="00CE04D7"/>
    <w:rsid w:val="00CE212C"/>
    <w:rsid w:val="00CE4FFF"/>
    <w:rsid w:val="00CE6019"/>
    <w:rsid w:val="00CF07F7"/>
    <w:rsid w:val="00CF12C7"/>
    <w:rsid w:val="00CF5591"/>
    <w:rsid w:val="00D0017C"/>
    <w:rsid w:val="00D00AF7"/>
    <w:rsid w:val="00D0181F"/>
    <w:rsid w:val="00D02C44"/>
    <w:rsid w:val="00D03143"/>
    <w:rsid w:val="00D121AB"/>
    <w:rsid w:val="00D16AC9"/>
    <w:rsid w:val="00D179B7"/>
    <w:rsid w:val="00D17E92"/>
    <w:rsid w:val="00D208C2"/>
    <w:rsid w:val="00D20A46"/>
    <w:rsid w:val="00D21479"/>
    <w:rsid w:val="00D21848"/>
    <w:rsid w:val="00D21D32"/>
    <w:rsid w:val="00D21F8F"/>
    <w:rsid w:val="00D239E8"/>
    <w:rsid w:val="00D30E62"/>
    <w:rsid w:val="00D31784"/>
    <w:rsid w:val="00D32CFC"/>
    <w:rsid w:val="00D36261"/>
    <w:rsid w:val="00D412EB"/>
    <w:rsid w:val="00D425EE"/>
    <w:rsid w:val="00D57F7A"/>
    <w:rsid w:val="00D61A01"/>
    <w:rsid w:val="00D64665"/>
    <w:rsid w:val="00D64D02"/>
    <w:rsid w:val="00D651B4"/>
    <w:rsid w:val="00D75E19"/>
    <w:rsid w:val="00D7733C"/>
    <w:rsid w:val="00D8047F"/>
    <w:rsid w:val="00D817A7"/>
    <w:rsid w:val="00D82737"/>
    <w:rsid w:val="00D82F9C"/>
    <w:rsid w:val="00D83E34"/>
    <w:rsid w:val="00D87E73"/>
    <w:rsid w:val="00D92538"/>
    <w:rsid w:val="00D929E1"/>
    <w:rsid w:val="00D937F5"/>
    <w:rsid w:val="00D93DD9"/>
    <w:rsid w:val="00D9660A"/>
    <w:rsid w:val="00DA3B3F"/>
    <w:rsid w:val="00DA74D2"/>
    <w:rsid w:val="00DA7E19"/>
    <w:rsid w:val="00DB38AA"/>
    <w:rsid w:val="00DB59EA"/>
    <w:rsid w:val="00DB605F"/>
    <w:rsid w:val="00DB6581"/>
    <w:rsid w:val="00DC1A4C"/>
    <w:rsid w:val="00DC3159"/>
    <w:rsid w:val="00DC48C8"/>
    <w:rsid w:val="00DC607E"/>
    <w:rsid w:val="00DD02EE"/>
    <w:rsid w:val="00DD293A"/>
    <w:rsid w:val="00DD367C"/>
    <w:rsid w:val="00DD4FFB"/>
    <w:rsid w:val="00DD583A"/>
    <w:rsid w:val="00DD5A2E"/>
    <w:rsid w:val="00DE1C4A"/>
    <w:rsid w:val="00DE69C2"/>
    <w:rsid w:val="00DE6E43"/>
    <w:rsid w:val="00DE7035"/>
    <w:rsid w:val="00DE7FF9"/>
    <w:rsid w:val="00DF0C52"/>
    <w:rsid w:val="00E024CC"/>
    <w:rsid w:val="00E10023"/>
    <w:rsid w:val="00E154E4"/>
    <w:rsid w:val="00E16DE7"/>
    <w:rsid w:val="00E201A1"/>
    <w:rsid w:val="00E201F4"/>
    <w:rsid w:val="00E20DE0"/>
    <w:rsid w:val="00E224AA"/>
    <w:rsid w:val="00E2298F"/>
    <w:rsid w:val="00E22EF2"/>
    <w:rsid w:val="00E238AB"/>
    <w:rsid w:val="00E23AD5"/>
    <w:rsid w:val="00E23E20"/>
    <w:rsid w:val="00E243FC"/>
    <w:rsid w:val="00E249A9"/>
    <w:rsid w:val="00E25510"/>
    <w:rsid w:val="00E271F4"/>
    <w:rsid w:val="00E27DC6"/>
    <w:rsid w:val="00E300F2"/>
    <w:rsid w:val="00E3065E"/>
    <w:rsid w:val="00E307B5"/>
    <w:rsid w:val="00E37D01"/>
    <w:rsid w:val="00E37F4F"/>
    <w:rsid w:val="00E442FD"/>
    <w:rsid w:val="00E443D6"/>
    <w:rsid w:val="00E54C83"/>
    <w:rsid w:val="00E55F2A"/>
    <w:rsid w:val="00E57C32"/>
    <w:rsid w:val="00E60851"/>
    <w:rsid w:val="00E62868"/>
    <w:rsid w:val="00E64427"/>
    <w:rsid w:val="00E64B69"/>
    <w:rsid w:val="00E67337"/>
    <w:rsid w:val="00E67848"/>
    <w:rsid w:val="00E67D84"/>
    <w:rsid w:val="00E67D8F"/>
    <w:rsid w:val="00E7061A"/>
    <w:rsid w:val="00E728B6"/>
    <w:rsid w:val="00E75118"/>
    <w:rsid w:val="00E76F60"/>
    <w:rsid w:val="00E802CD"/>
    <w:rsid w:val="00E8353F"/>
    <w:rsid w:val="00E87227"/>
    <w:rsid w:val="00E9482C"/>
    <w:rsid w:val="00E957FD"/>
    <w:rsid w:val="00E97C2D"/>
    <w:rsid w:val="00EA2071"/>
    <w:rsid w:val="00EA3CFE"/>
    <w:rsid w:val="00EA4001"/>
    <w:rsid w:val="00EA563C"/>
    <w:rsid w:val="00EA565C"/>
    <w:rsid w:val="00EA777F"/>
    <w:rsid w:val="00EB1D67"/>
    <w:rsid w:val="00EB6173"/>
    <w:rsid w:val="00EB6766"/>
    <w:rsid w:val="00EB7E1B"/>
    <w:rsid w:val="00EC01E4"/>
    <w:rsid w:val="00EC149B"/>
    <w:rsid w:val="00EC1A99"/>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642E"/>
    <w:rsid w:val="00EF725F"/>
    <w:rsid w:val="00EF75DF"/>
    <w:rsid w:val="00F013EC"/>
    <w:rsid w:val="00F01D33"/>
    <w:rsid w:val="00F04EBA"/>
    <w:rsid w:val="00F05508"/>
    <w:rsid w:val="00F141D8"/>
    <w:rsid w:val="00F14F95"/>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6B4"/>
    <w:rsid w:val="00F81B38"/>
    <w:rsid w:val="00F825E1"/>
    <w:rsid w:val="00F839FF"/>
    <w:rsid w:val="00F86B23"/>
    <w:rsid w:val="00F90191"/>
    <w:rsid w:val="00F94B38"/>
    <w:rsid w:val="00F959A1"/>
    <w:rsid w:val="00F97F12"/>
    <w:rsid w:val="00FA1CEB"/>
    <w:rsid w:val="00FA386D"/>
    <w:rsid w:val="00FA592F"/>
    <w:rsid w:val="00FA651B"/>
    <w:rsid w:val="00FB6BD7"/>
    <w:rsid w:val="00FB6DC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hyperlink" Target="http://www.cbr.ru/statistics/?PrtId=int_rat" TargetMode="External"/><Relationship Id="rId95" Type="http://schemas.openxmlformats.org/officeDocument/2006/relationships/oleObject" Target="embeddings/oleObject49.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www.moex.com/" TargetMode="External"/><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8.bin"/><Relationship Id="rId98" Type="http://schemas.openxmlformats.org/officeDocument/2006/relationships/hyperlink" Target="http://www.cbr.ru/statistics/?PrtId=int_rat"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3.wmf"/><Relationship Id="rId99" Type="http://schemas.openxmlformats.org/officeDocument/2006/relationships/hyperlink" Target="http://www.cbr.ru/statistics/?PrtId=int_rat"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oleObject" Target="embeddings/oleObject5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8CD8E-B83E-4721-BFA2-F25CB132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19684</Words>
  <Characters>112199</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131620</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Акишина</cp:lastModifiedBy>
  <cp:revision>2</cp:revision>
  <cp:lastPrinted>2019-12-04T10:13:00Z</cp:lastPrinted>
  <dcterms:created xsi:type="dcterms:W3CDTF">2020-07-24T14:29:00Z</dcterms:created>
  <dcterms:modified xsi:type="dcterms:W3CDTF">2020-07-24T14:29:00Z</dcterms:modified>
</cp:coreProperties>
</file>